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spacing w:val="-6"/>
          <w:sz w:val="44"/>
          <w:szCs w:val="44"/>
        </w:rPr>
      </w:pPr>
      <w:bookmarkStart w:id="0" w:name="_GoBack"/>
      <w:r>
        <w:rPr>
          <w:rFonts w:hint="eastAsia" w:ascii="方正小标宋简体" w:hAnsi="方正小标宋简体" w:eastAsia="方正小标宋简体" w:cs="方正小标宋简体"/>
          <w:b/>
          <w:spacing w:val="-6"/>
          <w:sz w:val="44"/>
          <w:szCs w:val="44"/>
        </w:rPr>
        <w:t>巴中市市级法定行政审批中介服务事项清单</w:t>
      </w:r>
    </w:p>
    <w:bookmarkEnd w:id="0"/>
    <w:tbl>
      <w:tblPr>
        <w:tblStyle w:val="4"/>
        <w:tblW w:w="14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3"/>
        <w:gridCol w:w="883"/>
        <w:gridCol w:w="1635"/>
        <w:gridCol w:w="1499"/>
        <w:gridCol w:w="738"/>
        <w:gridCol w:w="2011"/>
        <w:gridCol w:w="1843"/>
        <w:gridCol w:w="1913"/>
        <w:gridCol w:w="1399"/>
        <w:gridCol w:w="1561"/>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543" w:type="dxa"/>
            <w:vMerge w:val="restart"/>
            <w:noWrap/>
            <w:vAlign w:val="center"/>
          </w:tcPr>
          <w:p>
            <w:pPr>
              <w:spacing w:line="300" w:lineRule="exact"/>
              <w:jc w:val="center"/>
              <w:rPr>
                <w:rFonts w:ascii="宋体" w:hAnsi="宋体" w:cs="宋体"/>
                <w:b/>
                <w:bCs/>
                <w:sz w:val="24"/>
              </w:rPr>
            </w:pPr>
            <w:r>
              <w:rPr>
                <w:rFonts w:hint="eastAsia" w:ascii="宋体" w:hAnsi="宋体" w:cs="宋体"/>
                <w:b/>
                <w:bCs/>
                <w:sz w:val="24"/>
              </w:rPr>
              <w:t>序号</w:t>
            </w:r>
          </w:p>
        </w:tc>
        <w:tc>
          <w:tcPr>
            <w:tcW w:w="4755" w:type="dxa"/>
            <w:gridSpan w:val="4"/>
            <w:noWrap/>
            <w:vAlign w:val="center"/>
          </w:tcPr>
          <w:p>
            <w:pPr>
              <w:spacing w:line="300" w:lineRule="exact"/>
              <w:jc w:val="center"/>
              <w:rPr>
                <w:rFonts w:ascii="宋体" w:hAnsi="宋体" w:cs="宋体"/>
                <w:b/>
                <w:bCs/>
                <w:sz w:val="24"/>
              </w:rPr>
            </w:pPr>
            <w:r>
              <w:rPr>
                <w:rFonts w:hint="eastAsia" w:ascii="宋体" w:hAnsi="宋体" w:cs="宋体"/>
                <w:b/>
                <w:bCs/>
                <w:sz w:val="24"/>
              </w:rPr>
              <w:t>政务服务事项</w:t>
            </w:r>
          </w:p>
        </w:tc>
        <w:tc>
          <w:tcPr>
            <w:tcW w:w="8727" w:type="dxa"/>
            <w:gridSpan w:val="5"/>
            <w:noWrap/>
            <w:vAlign w:val="center"/>
          </w:tcPr>
          <w:p>
            <w:pPr>
              <w:spacing w:line="300" w:lineRule="exact"/>
              <w:jc w:val="center"/>
              <w:rPr>
                <w:rFonts w:ascii="宋体" w:hAnsi="宋体" w:cs="宋体"/>
                <w:b/>
                <w:bCs/>
                <w:sz w:val="24"/>
              </w:rPr>
            </w:pPr>
            <w:r>
              <w:rPr>
                <w:rFonts w:hint="eastAsia" w:ascii="宋体" w:hAnsi="宋体" w:cs="宋体"/>
                <w:b/>
                <w:bCs/>
                <w:sz w:val="24"/>
              </w:rPr>
              <w:t>涉及的中介服务事项</w:t>
            </w:r>
          </w:p>
        </w:tc>
        <w:tc>
          <w:tcPr>
            <w:tcW w:w="742" w:type="dxa"/>
            <w:vMerge w:val="restart"/>
            <w:noWrap/>
            <w:vAlign w:val="center"/>
          </w:tcPr>
          <w:p>
            <w:pPr>
              <w:spacing w:line="300" w:lineRule="exact"/>
              <w:jc w:val="center"/>
              <w:rPr>
                <w:rFonts w:ascii="宋体" w:hAnsi="宋体" w:cs="宋体"/>
                <w:b/>
                <w:bCs/>
                <w:sz w:val="24"/>
              </w:rPr>
            </w:pPr>
            <w:r>
              <w:rPr>
                <w:rFonts w:hint="eastAsia" w:ascii="宋体" w:hAnsi="宋体" w:cs="宋体"/>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blHeader/>
          <w:jc w:val="center"/>
        </w:trPr>
        <w:tc>
          <w:tcPr>
            <w:tcW w:w="543" w:type="dxa"/>
            <w:vMerge w:val="continue"/>
            <w:noWrap/>
            <w:vAlign w:val="center"/>
          </w:tcPr>
          <w:p>
            <w:pPr>
              <w:spacing w:line="300" w:lineRule="exact"/>
              <w:jc w:val="center"/>
              <w:rPr>
                <w:rFonts w:ascii="宋体" w:hAnsi="宋体" w:cs="宋体"/>
                <w:b/>
                <w:bCs/>
                <w:sz w:val="24"/>
              </w:rPr>
            </w:pPr>
          </w:p>
        </w:tc>
        <w:tc>
          <w:tcPr>
            <w:tcW w:w="883" w:type="dxa"/>
            <w:noWrap/>
            <w:vAlign w:val="center"/>
          </w:tcPr>
          <w:p>
            <w:pPr>
              <w:spacing w:line="300" w:lineRule="exact"/>
              <w:jc w:val="center"/>
              <w:rPr>
                <w:rFonts w:ascii="宋体" w:hAnsi="宋体" w:cs="宋体"/>
                <w:b/>
                <w:bCs/>
                <w:sz w:val="24"/>
              </w:rPr>
            </w:pPr>
            <w:r>
              <w:rPr>
                <w:rFonts w:hint="eastAsia" w:ascii="宋体" w:hAnsi="宋体" w:cs="宋体"/>
                <w:b/>
                <w:bCs/>
                <w:sz w:val="24"/>
              </w:rPr>
              <w:t>审批部门</w:t>
            </w:r>
          </w:p>
        </w:tc>
        <w:tc>
          <w:tcPr>
            <w:tcW w:w="1635" w:type="dxa"/>
            <w:noWrap/>
            <w:vAlign w:val="center"/>
          </w:tcPr>
          <w:p>
            <w:pPr>
              <w:spacing w:line="300" w:lineRule="exact"/>
              <w:jc w:val="center"/>
              <w:rPr>
                <w:rFonts w:ascii="宋体" w:hAnsi="宋体" w:cs="宋体"/>
                <w:b/>
                <w:bCs/>
                <w:sz w:val="24"/>
              </w:rPr>
            </w:pPr>
            <w:r>
              <w:rPr>
                <w:rFonts w:hint="eastAsia" w:ascii="宋体" w:hAnsi="宋体" w:cs="宋体"/>
                <w:b/>
                <w:bCs/>
                <w:sz w:val="24"/>
              </w:rPr>
              <w:t>主项</w:t>
            </w:r>
          </w:p>
        </w:tc>
        <w:tc>
          <w:tcPr>
            <w:tcW w:w="1499" w:type="dxa"/>
            <w:noWrap/>
            <w:vAlign w:val="center"/>
          </w:tcPr>
          <w:p>
            <w:pPr>
              <w:spacing w:line="300" w:lineRule="exact"/>
              <w:jc w:val="center"/>
              <w:rPr>
                <w:rFonts w:ascii="宋体" w:hAnsi="宋体" w:cs="宋体"/>
                <w:b/>
                <w:bCs/>
                <w:sz w:val="24"/>
              </w:rPr>
            </w:pPr>
            <w:r>
              <w:rPr>
                <w:rFonts w:hint="eastAsia" w:ascii="宋体" w:hAnsi="宋体" w:cs="宋体"/>
                <w:b/>
                <w:bCs/>
                <w:sz w:val="24"/>
              </w:rPr>
              <w:t>末级子项</w:t>
            </w:r>
          </w:p>
        </w:tc>
        <w:tc>
          <w:tcPr>
            <w:tcW w:w="738" w:type="dxa"/>
            <w:noWrap/>
            <w:vAlign w:val="center"/>
          </w:tcPr>
          <w:p>
            <w:pPr>
              <w:spacing w:line="300" w:lineRule="exact"/>
              <w:jc w:val="center"/>
              <w:rPr>
                <w:rFonts w:ascii="宋体" w:hAnsi="宋体" w:cs="宋体"/>
                <w:b/>
                <w:bCs/>
                <w:sz w:val="24"/>
              </w:rPr>
            </w:pPr>
            <w:r>
              <w:rPr>
                <w:rFonts w:hint="eastAsia" w:ascii="宋体" w:hAnsi="宋体" w:cs="宋体"/>
                <w:b/>
                <w:bCs/>
                <w:sz w:val="24"/>
              </w:rPr>
              <w:t>事项</w:t>
            </w:r>
          </w:p>
          <w:p>
            <w:pPr>
              <w:spacing w:line="300" w:lineRule="exact"/>
              <w:jc w:val="center"/>
              <w:rPr>
                <w:rFonts w:ascii="宋体" w:hAnsi="宋体" w:cs="宋体"/>
                <w:b/>
                <w:bCs/>
                <w:sz w:val="24"/>
              </w:rPr>
            </w:pPr>
            <w:r>
              <w:rPr>
                <w:rFonts w:hint="eastAsia" w:ascii="宋体" w:hAnsi="宋体" w:cs="宋体"/>
                <w:b/>
                <w:bCs/>
                <w:sz w:val="24"/>
              </w:rPr>
              <w:t>类别</w:t>
            </w:r>
          </w:p>
        </w:tc>
        <w:tc>
          <w:tcPr>
            <w:tcW w:w="2011" w:type="dxa"/>
            <w:noWrap/>
            <w:vAlign w:val="center"/>
          </w:tcPr>
          <w:p>
            <w:pPr>
              <w:spacing w:line="300" w:lineRule="exact"/>
              <w:jc w:val="center"/>
              <w:rPr>
                <w:rFonts w:ascii="宋体" w:hAnsi="宋体" w:cs="宋体"/>
                <w:b/>
                <w:bCs/>
                <w:sz w:val="24"/>
              </w:rPr>
            </w:pPr>
            <w:r>
              <w:rPr>
                <w:rFonts w:hint="eastAsia" w:ascii="宋体" w:hAnsi="宋体" w:cs="宋体"/>
                <w:b/>
                <w:bCs/>
                <w:sz w:val="24"/>
              </w:rPr>
              <w:t>事项名称</w:t>
            </w:r>
          </w:p>
        </w:tc>
        <w:tc>
          <w:tcPr>
            <w:tcW w:w="1843" w:type="dxa"/>
            <w:noWrap/>
            <w:vAlign w:val="center"/>
          </w:tcPr>
          <w:p>
            <w:pPr>
              <w:spacing w:line="300" w:lineRule="exact"/>
              <w:jc w:val="center"/>
              <w:rPr>
                <w:rFonts w:ascii="宋体" w:hAnsi="宋体" w:cs="宋体"/>
                <w:b/>
                <w:bCs/>
                <w:sz w:val="24"/>
              </w:rPr>
            </w:pPr>
            <w:r>
              <w:rPr>
                <w:rFonts w:hint="eastAsia" w:ascii="宋体" w:hAnsi="宋体" w:cs="宋体"/>
                <w:b/>
                <w:bCs/>
                <w:sz w:val="24"/>
              </w:rPr>
              <w:t>设定依据</w:t>
            </w:r>
          </w:p>
        </w:tc>
        <w:tc>
          <w:tcPr>
            <w:tcW w:w="1913" w:type="dxa"/>
            <w:noWrap/>
            <w:vAlign w:val="center"/>
          </w:tcPr>
          <w:p>
            <w:pPr>
              <w:spacing w:line="300" w:lineRule="exact"/>
              <w:jc w:val="center"/>
              <w:rPr>
                <w:rFonts w:ascii="宋体" w:hAnsi="宋体" w:cs="宋体"/>
                <w:b/>
                <w:bCs/>
                <w:sz w:val="24"/>
              </w:rPr>
            </w:pPr>
            <w:r>
              <w:rPr>
                <w:rFonts w:hint="eastAsia" w:ascii="宋体" w:hAnsi="宋体" w:cs="宋体"/>
                <w:b/>
                <w:bCs/>
                <w:sz w:val="24"/>
              </w:rPr>
              <w:t>实施机构或</w:t>
            </w:r>
          </w:p>
          <w:p>
            <w:pPr>
              <w:spacing w:line="300" w:lineRule="exact"/>
              <w:jc w:val="center"/>
              <w:rPr>
                <w:rFonts w:ascii="宋体" w:hAnsi="宋体" w:cs="宋体"/>
                <w:b/>
                <w:bCs/>
                <w:sz w:val="24"/>
              </w:rPr>
            </w:pPr>
            <w:r>
              <w:rPr>
                <w:rFonts w:hint="eastAsia" w:ascii="宋体" w:hAnsi="宋体" w:cs="宋体"/>
                <w:b/>
                <w:bCs/>
                <w:sz w:val="24"/>
              </w:rPr>
              <w:t>资质要求</w:t>
            </w:r>
          </w:p>
        </w:tc>
        <w:tc>
          <w:tcPr>
            <w:tcW w:w="1399" w:type="dxa"/>
            <w:noWrap/>
            <w:vAlign w:val="center"/>
          </w:tcPr>
          <w:p>
            <w:pPr>
              <w:spacing w:line="300" w:lineRule="exact"/>
              <w:jc w:val="center"/>
              <w:rPr>
                <w:rFonts w:ascii="宋体" w:hAnsi="宋体" w:cs="宋体"/>
                <w:b/>
                <w:bCs/>
                <w:sz w:val="24"/>
              </w:rPr>
            </w:pPr>
            <w:r>
              <w:rPr>
                <w:rFonts w:hint="eastAsia" w:ascii="宋体" w:hAnsi="宋体" w:cs="宋体"/>
                <w:b/>
                <w:bCs/>
                <w:sz w:val="24"/>
              </w:rPr>
              <w:t>收费依据及标准</w:t>
            </w:r>
          </w:p>
        </w:tc>
        <w:tc>
          <w:tcPr>
            <w:tcW w:w="1561" w:type="dxa"/>
            <w:noWrap/>
            <w:vAlign w:val="center"/>
          </w:tcPr>
          <w:p>
            <w:pPr>
              <w:spacing w:line="300" w:lineRule="exact"/>
              <w:jc w:val="center"/>
              <w:rPr>
                <w:rFonts w:ascii="宋体" w:hAnsi="宋体" w:cs="宋体"/>
                <w:b/>
                <w:bCs/>
                <w:sz w:val="24"/>
              </w:rPr>
            </w:pPr>
            <w:r>
              <w:rPr>
                <w:rFonts w:hint="eastAsia" w:ascii="宋体" w:hAnsi="宋体" w:cs="宋体"/>
                <w:b/>
                <w:bCs/>
                <w:sz w:val="24"/>
              </w:rPr>
              <w:t>办结时限</w:t>
            </w:r>
          </w:p>
          <w:p>
            <w:pPr>
              <w:spacing w:line="300" w:lineRule="exact"/>
              <w:jc w:val="center"/>
              <w:rPr>
                <w:rFonts w:ascii="宋体" w:hAnsi="宋体" w:cs="宋体"/>
                <w:b/>
                <w:bCs/>
                <w:sz w:val="24"/>
              </w:rPr>
            </w:pPr>
            <w:r>
              <w:rPr>
                <w:rFonts w:hint="eastAsia" w:ascii="宋体" w:hAnsi="宋体" w:cs="宋体"/>
                <w:b/>
                <w:bCs/>
                <w:sz w:val="24"/>
              </w:rPr>
              <w:t>及依据</w:t>
            </w:r>
          </w:p>
        </w:tc>
        <w:tc>
          <w:tcPr>
            <w:tcW w:w="742" w:type="dxa"/>
            <w:vMerge w:val="continue"/>
            <w:noWrap/>
            <w:vAlign w:val="center"/>
          </w:tcPr>
          <w:p>
            <w:pPr>
              <w:spacing w:line="300" w:lineRule="exact"/>
              <w:jc w:val="center"/>
              <w:rPr>
                <w:rFonts w:eastAsia="黑体"/>
                <w:b/>
                <w:bCs/>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巴中市气象局</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防雷装置设计审核</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szCs w:val="21"/>
              </w:rPr>
              <w:t>防雷装置设计技术评价</w:t>
            </w:r>
          </w:p>
        </w:tc>
        <w:tc>
          <w:tcPr>
            <w:tcW w:w="1843" w:type="dxa"/>
            <w:vMerge w:val="restart"/>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《中华人民共和国气象法》、《气象灾害防御条例》（国务院令第570号）</w:t>
            </w:r>
          </w:p>
        </w:tc>
        <w:tc>
          <w:tcPr>
            <w:tcW w:w="1913" w:type="dxa"/>
            <w:vMerge w:val="restart"/>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szCs w:val="21"/>
              </w:rPr>
              <w:t>依法取得省级气象主管机构批准的具有防雷检测甲级资质的机构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防雷装置竣工验收</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szCs w:val="21"/>
              </w:rPr>
              <w:t>防雷装置竣工检测</w:t>
            </w:r>
          </w:p>
        </w:tc>
        <w:tc>
          <w:tcPr>
            <w:tcW w:w="1843" w:type="dxa"/>
            <w:vMerge w:val="continue"/>
            <w:noWrap/>
            <w:vAlign w:val="center"/>
          </w:tcPr>
          <w:p>
            <w:pPr>
              <w:spacing w:line="300" w:lineRule="exact"/>
              <w:ind w:left="-73" w:leftChars="-35" w:right="-53" w:rightChars="-25"/>
              <w:jc w:val="center"/>
              <w:rPr>
                <w:rFonts w:hint="eastAsia" w:ascii="仿宋_GB2312" w:hAnsi="仿宋" w:eastAsia="仿宋_GB2312" w:cs="仿宋"/>
                <w:szCs w:val="21"/>
              </w:rPr>
            </w:pPr>
          </w:p>
        </w:tc>
        <w:tc>
          <w:tcPr>
            <w:tcW w:w="1913" w:type="dxa"/>
            <w:vMerge w:val="continue"/>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6"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巴中市民政局</w:t>
            </w:r>
          </w:p>
        </w:tc>
        <w:tc>
          <w:tcPr>
            <w:tcW w:w="1635" w:type="dxa"/>
            <w:vMerge w:val="restart"/>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社会团体成立、变更、注销登记</w:t>
            </w:r>
          </w:p>
        </w:tc>
        <w:tc>
          <w:tcPr>
            <w:tcW w:w="14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社会团体成立登记</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验资报告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《社会团体登记管理条例》（国务院令第250号）</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依法登记注册的会计师事务所</w:t>
            </w:r>
          </w:p>
        </w:tc>
        <w:tc>
          <w:tcPr>
            <w:tcW w:w="13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kern w:val="0"/>
                <w:szCs w:val="21"/>
                <w:lang w:bidi="ar"/>
              </w:rPr>
            </w:pPr>
          </w:p>
        </w:tc>
        <w:tc>
          <w:tcPr>
            <w:tcW w:w="1499" w:type="dxa"/>
            <w:noWrap/>
            <w:vAlign w:val="center"/>
          </w:tcPr>
          <w:p>
            <w:pPr>
              <w:widowControl/>
              <w:spacing w:line="300" w:lineRule="exact"/>
              <w:jc w:val="center"/>
              <w:textAlignment w:val="top"/>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社会团体注册资金变更登记</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验资报告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《社会团体登记管理条例》（国务院令第250号）</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依法登记注册的会计师事务所</w:t>
            </w:r>
          </w:p>
        </w:tc>
        <w:tc>
          <w:tcPr>
            <w:tcW w:w="13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4</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restart"/>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民办非企业单位成立、变更、注销登记</w:t>
            </w:r>
          </w:p>
        </w:tc>
        <w:tc>
          <w:tcPr>
            <w:tcW w:w="14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民办非企业单位成立登记</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验资报告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《民办非企业单位登记管理暂行条例》（国务院令第251号）</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依法登记注册的会计师事务所</w:t>
            </w:r>
          </w:p>
        </w:tc>
        <w:tc>
          <w:tcPr>
            <w:tcW w:w="13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kern w:val="0"/>
                <w:szCs w:val="21"/>
                <w:lang w:bidi="ar"/>
              </w:rPr>
            </w:pPr>
          </w:p>
        </w:tc>
        <w:tc>
          <w:tcPr>
            <w:tcW w:w="1499" w:type="dxa"/>
            <w:noWrap/>
            <w:vAlign w:val="center"/>
          </w:tcPr>
          <w:p>
            <w:pPr>
              <w:widowControl/>
              <w:spacing w:line="300" w:lineRule="exact"/>
              <w:jc w:val="center"/>
              <w:textAlignment w:val="top"/>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民办非企业单位开办资金变更登记</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验资报告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pacing w:val="-8"/>
                <w:szCs w:val="21"/>
              </w:rPr>
            </w:pPr>
            <w:r>
              <w:rPr>
                <w:rFonts w:hint="eastAsia" w:ascii="仿宋_GB2312" w:hAnsi="仿宋" w:eastAsia="仿宋_GB2312" w:cs="仿宋"/>
                <w:spacing w:val="-8"/>
                <w:kern w:val="0"/>
                <w:szCs w:val="21"/>
                <w:lang w:bidi="ar"/>
              </w:rPr>
              <w:t>《民办非企业单位登记管理暂行条例》（国务院令第251号）</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依法登记注册的会计师事务所</w:t>
            </w:r>
          </w:p>
        </w:tc>
        <w:tc>
          <w:tcPr>
            <w:tcW w:w="13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3"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5</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巴中市人力资源和社会保障局</w:t>
            </w:r>
          </w:p>
        </w:tc>
        <w:tc>
          <w:tcPr>
            <w:tcW w:w="3134" w:type="dxa"/>
            <w:gridSpan w:val="2"/>
            <w:noWrap/>
            <w:vAlign w:val="center"/>
          </w:tcPr>
          <w:p>
            <w:pPr>
              <w:spacing w:line="300" w:lineRule="exact"/>
              <w:jc w:val="center"/>
              <w:rPr>
                <w:rFonts w:hint="eastAsia" w:ascii="仿宋_GB2312" w:hAnsi="仿宋" w:eastAsia="仿宋_GB2312" w:cs="仿宋"/>
                <w:bCs/>
                <w:szCs w:val="21"/>
              </w:rPr>
            </w:pPr>
            <w:r>
              <w:rPr>
                <w:rFonts w:hint="eastAsia" w:ascii="仿宋_GB2312" w:hAnsi="仿宋" w:eastAsia="仿宋_GB2312" w:cs="仿宋"/>
                <w:szCs w:val="21"/>
              </w:rPr>
              <w:t>民办职业培训学校设立、分立、合并、变更及终止审批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验资报告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《中华人民共和国民办教育促进法》《中华人民共和国民办教育促进法实施条例》及《劳动和社会保障部关于贯彻落实〈民办教育促进法〉做好民办职业培训工作的通知》（劳社部发</w:t>
            </w:r>
            <w:r>
              <w:rPr>
                <w:rFonts w:hint="eastAsia" w:ascii="仿宋_GB2312" w:hAnsi="仿宋" w:eastAsia="仿宋_GB2312" w:cs="仿宋"/>
                <w:kern w:val="0"/>
                <w:szCs w:val="21"/>
                <w:lang w:bidi="ar"/>
              </w:rPr>
              <w:t>〔2004〕</w:t>
            </w:r>
            <w:r>
              <w:rPr>
                <w:rFonts w:hint="eastAsia" w:ascii="仿宋_GB2312" w:hAnsi="仿宋" w:eastAsia="仿宋_GB2312" w:cs="仿宋"/>
                <w:szCs w:val="21"/>
              </w:rPr>
              <w:t>10号）</w:t>
            </w:r>
          </w:p>
        </w:tc>
        <w:tc>
          <w:tcPr>
            <w:tcW w:w="1913" w:type="dxa"/>
            <w:noWrap/>
            <w:vAlign w:val="center"/>
          </w:tcPr>
          <w:p>
            <w:pPr>
              <w:spacing w:line="300" w:lineRule="exact"/>
              <w:ind w:left="-73" w:leftChars="-35" w:right="-53" w:rightChars="-25"/>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依法登记注册的会计师事务所或者审计事务所及其他具有验资资格的机构</w:t>
            </w:r>
          </w:p>
        </w:tc>
        <w:tc>
          <w:tcPr>
            <w:tcW w:w="1399"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1" w:hRule="atLeast"/>
          <w:jc w:val="center"/>
        </w:trPr>
        <w:tc>
          <w:tcPr>
            <w:tcW w:w="543" w:type="dxa"/>
            <w:noWrap/>
            <w:vAlign w:val="center"/>
          </w:tcPr>
          <w:p>
            <w:pPr>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6</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bCs/>
                <w:szCs w:val="21"/>
              </w:rPr>
              <w:t>劳务派遣经营许可</w:t>
            </w:r>
          </w:p>
        </w:tc>
        <w:tc>
          <w:tcPr>
            <w:tcW w:w="738"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验资报告或者财务审计报告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《劳动合同法》第五十条（中华人民共和国主席令第73号）、《劳务派遣行政许可实施办法》（中华人民共和国人力资源和社会保障部令第19号）</w:t>
            </w:r>
          </w:p>
        </w:tc>
        <w:tc>
          <w:tcPr>
            <w:tcW w:w="1913" w:type="dxa"/>
            <w:noWrap/>
            <w:vAlign w:val="center"/>
          </w:tcPr>
          <w:p>
            <w:pPr>
              <w:spacing w:line="300" w:lineRule="exact"/>
              <w:ind w:left="-73" w:leftChars="-35" w:right="-53" w:rightChars="-25"/>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w:t>
            </w:r>
            <w:r>
              <w:rPr>
                <w:rFonts w:hint="eastAsia" w:ascii="仿宋_GB2312" w:hAnsi="仿宋" w:eastAsia="仿宋_GB2312" w:cs="仿宋"/>
                <w:szCs w:val="21"/>
                <w:shd w:val="clear" w:color="auto" w:fill="FFFFFF"/>
              </w:rPr>
              <w:t>会计师事务所或者审计事务所及其他具有验资资格的机构</w:t>
            </w:r>
          </w:p>
        </w:tc>
        <w:tc>
          <w:tcPr>
            <w:tcW w:w="1399"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2"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7</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巴中市生态环境局</w:t>
            </w:r>
          </w:p>
        </w:tc>
        <w:tc>
          <w:tcPr>
            <w:tcW w:w="1635"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建设项目环境影响评价文件审批</w:t>
            </w:r>
          </w:p>
        </w:tc>
        <w:tc>
          <w:tcPr>
            <w:tcW w:w="14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一般建设项目环境影响报告书审批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编制建设项目环境影响报告书</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21"/>
                <w:szCs w:val="21"/>
              </w:rPr>
              <w:t>《中华人民共和国环境影响评价法》（2018年修订）</w:t>
            </w:r>
          </w:p>
        </w:tc>
        <w:tc>
          <w:tcPr>
            <w:tcW w:w="1913" w:type="dxa"/>
            <w:vMerge w:val="restart"/>
            <w:noWrap/>
            <w:vAlign w:val="center"/>
          </w:tcPr>
          <w:p>
            <w:pPr>
              <w:spacing w:line="28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21"/>
                <w:szCs w:val="21"/>
              </w:rPr>
              <w:t>编制单位应当为独立法人，并具备统一社会信用代码；接受委托为建设单位编制环境影响报告书（表）的技术单位应为依法经登记的企业法人或核工业、航空和航天行业的事业单位法人</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辐射建设项目环境影响报告表审批</w:t>
            </w:r>
          </w:p>
        </w:tc>
        <w:tc>
          <w:tcPr>
            <w:tcW w:w="738"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行政许可</w:t>
            </w:r>
          </w:p>
        </w:tc>
        <w:tc>
          <w:tcPr>
            <w:tcW w:w="2011"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编制建设项目环境影响报告表</w:t>
            </w:r>
          </w:p>
        </w:tc>
        <w:tc>
          <w:tcPr>
            <w:tcW w:w="1843" w:type="dxa"/>
            <w:vMerge w:val="restart"/>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21"/>
                <w:szCs w:val="21"/>
              </w:rPr>
              <w:t>《中华人民共和国环境影响评价法》（2018年修订）</w:t>
            </w:r>
          </w:p>
        </w:tc>
        <w:tc>
          <w:tcPr>
            <w:tcW w:w="1913" w:type="dxa"/>
            <w:vMerge w:val="continue"/>
            <w:noWrap/>
            <w:vAlign w:val="center"/>
          </w:tcPr>
          <w:p>
            <w:pPr>
              <w:spacing w:line="300" w:lineRule="exact"/>
              <w:ind w:left="-73" w:leftChars="-35" w:right="-53" w:rightChars="-25"/>
              <w:jc w:val="center"/>
              <w:rPr>
                <w:rFonts w:hint="eastAsia" w:ascii="仿宋_GB2312" w:hAnsi="仿宋" w:eastAsia="仿宋_GB2312" w:cs="仿宋"/>
                <w:szCs w:val="21"/>
              </w:rPr>
            </w:pPr>
          </w:p>
        </w:tc>
        <w:tc>
          <w:tcPr>
            <w:tcW w:w="1399"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21"/>
                <w:szCs w:val="21"/>
              </w:rPr>
              <w:t>双方协商约定</w:t>
            </w:r>
          </w:p>
        </w:tc>
        <w:tc>
          <w:tcPr>
            <w:tcW w:w="742" w:type="dxa"/>
            <w:vMerge w:val="restart"/>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spacing w:line="300" w:lineRule="exact"/>
              <w:jc w:val="center"/>
              <w:rPr>
                <w:rFonts w:hint="eastAsia" w:ascii="仿宋_GB2312" w:hAnsi="仿宋" w:eastAsia="仿宋_GB2312" w:cs="仿宋"/>
                <w:kern w:val="21"/>
                <w:szCs w:val="21"/>
              </w:rPr>
            </w:pPr>
            <w:r>
              <w:rPr>
                <w:rFonts w:hint="eastAsia" w:ascii="仿宋_GB2312" w:hAnsi="仿宋" w:eastAsia="仿宋_GB2312" w:cs="仿宋"/>
                <w:kern w:val="21"/>
                <w:szCs w:val="21"/>
              </w:rPr>
              <w:t>一般建设项目环境影响报告表审批</w:t>
            </w:r>
          </w:p>
        </w:tc>
        <w:tc>
          <w:tcPr>
            <w:tcW w:w="738" w:type="dxa"/>
            <w:vMerge w:val="continue"/>
            <w:noWrap/>
            <w:vAlign w:val="center"/>
          </w:tcPr>
          <w:p>
            <w:pPr>
              <w:spacing w:line="300" w:lineRule="exact"/>
              <w:jc w:val="center"/>
              <w:rPr>
                <w:rFonts w:hint="eastAsia" w:ascii="仿宋_GB2312" w:hAnsi="仿宋" w:eastAsia="仿宋_GB2312" w:cs="仿宋"/>
                <w:kern w:val="21"/>
                <w:szCs w:val="21"/>
              </w:rPr>
            </w:pPr>
          </w:p>
        </w:tc>
        <w:tc>
          <w:tcPr>
            <w:tcW w:w="2011" w:type="dxa"/>
            <w:vMerge w:val="continue"/>
            <w:noWrap/>
            <w:vAlign w:val="center"/>
          </w:tcPr>
          <w:p>
            <w:pPr>
              <w:spacing w:line="300" w:lineRule="exact"/>
              <w:jc w:val="center"/>
              <w:rPr>
                <w:rFonts w:hint="eastAsia" w:ascii="仿宋_GB2312" w:hAnsi="仿宋" w:eastAsia="仿宋_GB2312" w:cs="仿宋"/>
                <w:kern w:val="21"/>
                <w:szCs w:val="21"/>
              </w:rPr>
            </w:pPr>
          </w:p>
        </w:tc>
        <w:tc>
          <w:tcPr>
            <w:tcW w:w="1843" w:type="dxa"/>
            <w:vMerge w:val="continue"/>
            <w:noWrap/>
            <w:vAlign w:val="center"/>
          </w:tcPr>
          <w:p>
            <w:pPr>
              <w:spacing w:line="300" w:lineRule="exact"/>
              <w:ind w:left="-73" w:leftChars="-35" w:right="-53" w:rightChars="-25"/>
              <w:jc w:val="center"/>
              <w:rPr>
                <w:rFonts w:hint="eastAsia" w:ascii="仿宋_GB2312" w:hAnsi="仿宋" w:eastAsia="仿宋_GB2312" w:cs="仿宋"/>
                <w:kern w:val="21"/>
                <w:szCs w:val="21"/>
              </w:rPr>
            </w:pPr>
          </w:p>
        </w:tc>
        <w:tc>
          <w:tcPr>
            <w:tcW w:w="1913" w:type="dxa"/>
            <w:vMerge w:val="continue"/>
            <w:noWrap/>
            <w:vAlign w:val="center"/>
          </w:tcPr>
          <w:p>
            <w:pPr>
              <w:spacing w:line="300" w:lineRule="exact"/>
              <w:ind w:left="-73" w:leftChars="-35" w:right="-53" w:rightChars="-25"/>
              <w:jc w:val="center"/>
              <w:rPr>
                <w:rFonts w:hint="eastAsia" w:ascii="仿宋_GB2312" w:hAnsi="仿宋" w:eastAsia="仿宋_GB2312" w:cs="仿宋"/>
                <w:szCs w:val="21"/>
              </w:rPr>
            </w:pPr>
          </w:p>
        </w:tc>
        <w:tc>
          <w:tcPr>
            <w:tcW w:w="1399" w:type="dxa"/>
            <w:vMerge w:val="continue"/>
            <w:noWrap/>
            <w:vAlign w:val="center"/>
          </w:tcPr>
          <w:p>
            <w:pPr>
              <w:spacing w:line="300" w:lineRule="exact"/>
              <w:jc w:val="center"/>
              <w:rPr>
                <w:rFonts w:hint="eastAsia" w:ascii="仿宋_GB2312" w:hAnsi="仿宋" w:eastAsia="仿宋_GB2312" w:cs="仿宋"/>
                <w:kern w:val="0"/>
                <w:szCs w:val="21"/>
                <w:lang w:bidi="ar"/>
              </w:rPr>
            </w:pPr>
          </w:p>
        </w:tc>
        <w:tc>
          <w:tcPr>
            <w:tcW w:w="1561" w:type="dxa"/>
            <w:vMerge w:val="continue"/>
            <w:noWrap/>
            <w:vAlign w:val="center"/>
          </w:tcPr>
          <w:p>
            <w:pPr>
              <w:spacing w:line="300" w:lineRule="exact"/>
              <w:jc w:val="center"/>
              <w:rPr>
                <w:rFonts w:hint="eastAsia" w:ascii="仿宋_GB2312" w:hAnsi="仿宋" w:eastAsia="仿宋_GB2312" w:cs="仿宋"/>
                <w:kern w:val="21"/>
                <w:szCs w:val="21"/>
              </w:rPr>
            </w:pPr>
          </w:p>
        </w:tc>
        <w:tc>
          <w:tcPr>
            <w:tcW w:w="742" w:type="dxa"/>
            <w:vMerge w:val="continue"/>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3"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8</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辐射安全许可</w:t>
            </w:r>
          </w:p>
        </w:tc>
        <w:tc>
          <w:tcPr>
            <w:tcW w:w="14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辐射安全许可延续审批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编制监测报告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《放射性同位素与射线装置安全和防护条例》第七条二款及《放射性同位素与射线装置安全许可管理办法》第二十四条第二款规定</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符合环境监测业务能力认定要求，并在《环境监测业务能力认定证书》规定的范围内从事环境监测工作的技术机构</w:t>
            </w:r>
          </w:p>
        </w:tc>
        <w:tc>
          <w:tcPr>
            <w:tcW w:w="1399" w:type="dxa"/>
            <w:noWrap/>
            <w:vAlign w:val="center"/>
          </w:tcPr>
          <w:p>
            <w:pPr>
              <w:spacing w:line="300" w:lineRule="exact"/>
              <w:ind w:left="-57" w:leftChars="-27" w:right="-48" w:rightChars="-23"/>
              <w:jc w:val="center"/>
              <w:rPr>
                <w:rFonts w:hint="eastAsia" w:ascii="仿宋_GB2312" w:hAnsi="仿宋" w:eastAsia="仿宋_GB2312" w:cs="仿宋"/>
                <w:szCs w:val="21"/>
              </w:rPr>
            </w:pPr>
            <w:r>
              <w:rPr>
                <w:rFonts w:hint="eastAsia" w:ascii="仿宋_GB2312" w:hAnsi="仿宋" w:eastAsia="仿宋_GB2312" w:cs="仿宋"/>
                <w:szCs w:val="21"/>
              </w:rPr>
              <w:t>四川省物价局 四川省财政厅《关于调整环境监测服务收费标准的函》（川价函〔2007〕6号）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543" w:type="dxa"/>
            <w:noWrap/>
            <w:vAlign w:val="center"/>
          </w:tcPr>
          <w:p>
            <w:pPr>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9</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建设项目竣工环境保护验收（噪声和固体废物）</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编制验收监测（调查）报告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《建设项目环境保护管理条例》（2017年修订）、《建设项目竣工环境保护验收暂行办法》（国环规环评〔2017〕4号）</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建设单位是建设项目竣工环境保护验收的责任主体，应当按照本办法规定的程序和标准，组织对配套建设的环境保护设施进行验收，编制验收报告</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5"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10</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巴中市应急管理局</w:t>
            </w:r>
          </w:p>
        </w:tc>
        <w:tc>
          <w:tcPr>
            <w:tcW w:w="1635"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非煤矿矿山企业安全生产许可证核发</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非煤矿矿山企业安全生产许可证独立生产系统延期</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szCs w:val="21"/>
              </w:rPr>
              <w:t>《中华人民共和国安全生产法》第二十九条、</w:t>
            </w:r>
            <w:r>
              <w:rPr>
                <w:rFonts w:hint="eastAsia" w:ascii="仿宋_GB2312" w:hAnsi="仿宋" w:eastAsia="仿宋_GB2312" w:cs="仿宋"/>
                <w:kern w:val="0"/>
                <w:szCs w:val="21"/>
                <w:lang w:bidi="ar"/>
              </w:rPr>
              <w:t>《非煤矿矿山企业安全生产许可证实施办法》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widowControl/>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0"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widowControl/>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非煤矿矿山企业安全生产许可证总部首次发证</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《安全生产法》第二十九条、《非煤矿矿山企业安全生产许可证实施办法》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widowControl/>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widowControl/>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非煤矿矿山企业安全生产许可证独立生产系统首次发证</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《安全生产法》第二十九条、《非煤矿矿山企业安全生产许可证实施办法》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widowControl/>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widowControl/>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非煤矿矿山企业安全生产许可证总部延期</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ind w:firstLine="210" w:firstLineChars="100"/>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《安全生产法》第二十九条、《非煤矿矿山企业安全生产许可证实施办法》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widowControl/>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8" w:hRule="atLeast"/>
          <w:jc w:val="center"/>
        </w:trPr>
        <w:tc>
          <w:tcPr>
            <w:tcW w:w="543" w:type="dxa"/>
            <w:vMerge w:val="continue"/>
            <w:noWrap/>
            <w:vAlign w:val="center"/>
          </w:tcPr>
          <w:p>
            <w:pPr>
              <w:spacing w:line="300" w:lineRule="exact"/>
              <w:jc w:val="center"/>
              <w:textAlignment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非煤矿矿山企业安全生产许可证独立生产系统直接延期</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ind w:firstLine="210" w:firstLineChars="100"/>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300" w:lineRule="exact"/>
              <w:ind w:left="-105" w:leftChars="-50"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《安全生产法》第二十九条、《非煤矿矿山企业安全生产许可证实施办法》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widowControl/>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543"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10</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巴中市应急管理局</w:t>
            </w:r>
          </w:p>
        </w:tc>
        <w:tc>
          <w:tcPr>
            <w:tcW w:w="1635" w:type="dxa"/>
            <w:noWrap/>
            <w:vAlign w:val="center"/>
          </w:tcPr>
          <w:p>
            <w:pPr>
              <w:widowControl/>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非煤矿矿山企业安全生产许可证核发</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非煤矿矿山企业安全生产许可证总部直接延期</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24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szCs w:val="21"/>
              </w:rPr>
              <w:t>《安全生产许可证条例》（国务院令653号）第六条、《非煤矿矿山企业安全生产许可证实施办法》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widowControl/>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11</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危险化学品安全使用许可证核发</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危险化学品安全使用许可证核发</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安全评价报告及其整改结果的报告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《危险化学品安全管理条例》（国务院令645号）第三十条第一款第（四）项、《危险化学品安全使用许可证实施办法》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危险化学品安全使用许可证延期审查</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安全评价报告及其整改结果的报告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《危险化学品安全管理条例》（国务院令645号）第三十条第一款第（四）项、《危险化学品安全使用许可证实施办法》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kern w:val="0"/>
                <w:szCs w:val="21"/>
                <w:lang w:bidi="ar"/>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危险化学品安全使用许可证直接延期审查</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安全评价报告及其整改结果的报告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《危险化学品安全管理条例》（国务院令645号）第三十条第一款第（四）项、《危险化学品安全使用许可证实施办法》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5" w:hRule="atLeast"/>
          <w:jc w:val="center"/>
        </w:trPr>
        <w:tc>
          <w:tcPr>
            <w:tcW w:w="543"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11</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巴中市应急管理局</w:t>
            </w: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危险化学品安全使用许可证核发</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危险化学品安全使用许可证变更许可范围</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编制安全评价报告及其整改结果的报告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《危险化学品安全管理条例》（国务院令645号）第三十条第一款第（四）项、《危险化学品安全使用许可证实施办法》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6"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12</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非煤矿矿山建设项目安全设施设计审查</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金属非金属矿山新建、改建、扩建建设项目</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编制安全设施设计、评价报告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《安全生产法》第三十条、《建设项目安全设施“三同时”监督管理办法》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具有乙级以上的工程设计资质机构、具有乙级以上的安全评价资质机构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4"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尾矿库新建、改建、扩建建设项目</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编制安全设施设计、评价报告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《安全生产法》第三十条、《建设项目安全设施“三同时”监督管理办法》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具有乙级以上的工程设计资质机构、具有乙级以上的安全评价资质机构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8" w:hRule="atLeast"/>
          <w:jc w:val="center"/>
        </w:trPr>
        <w:tc>
          <w:tcPr>
            <w:tcW w:w="543" w:type="dxa"/>
            <w:noWrap/>
            <w:vAlign w:val="center"/>
          </w:tcPr>
          <w:p>
            <w:pPr>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13</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金属冶炼建设项目安全设施设计审查</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金属非金属矿产资源地质勘探坑探工程项目</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编制安全设施设计、评价报告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《安全生产法》第三十条、《建设项目安全设施“三同时”监督管理办法》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具有乙级以上的工程设计资质机构、具有乙级以上的安全评价资质机构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13</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巴中市应急管理局</w:t>
            </w:r>
          </w:p>
        </w:tc>
        <w:tc>
          <w:tcPr>
            <w:tcW w:w="1635"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金属冶炼建设项目安全设施设计审查</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金属冶炼建设项目安全设施设计审查</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编制安全设施设计、评价报告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《安全生产法》第三十条、《建设项目安全设施“三同时”监督管理办法》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具有乙级以上的工程设计资质机构、具有乙级以上的安全评价资质机构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14</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省级范围内危险化学品生产企业安全生产许可证核发（非中央企业及其直接控股涉及危险化学品生产企业〔总部〕)</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危险化学品生产企业首次申请办理安全生产许可</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《安全生产许可证条例》（国务院令653号）第六条第一款第（十）项、《危险化学品生产企业安全生产许可证实施办法》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危险化学品生产企业安全生产许可证延期</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《安全生产许可证条例》（国务院令653号）第六条第一款第（十）项、《危险化学品生产企业安全生产许可证实施办法》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5" w:hRule="atLeast"/>
          <w:jc w:val="center"/>
        </w:trPr>
        <w:tc>
          <w:tcPr>
            <w:tcW w:w="543" w:type="dxa"/>
            <w:vMerge w:val="continue"/>
            <w:noWrap/>
            <w:vAlign w:val="center"/>
          </w:tcPr>
          <w:p>
            <w:pPr>
              <w:spacing w:line="300" w:lineRule="exact"/>
              <w:jc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危险化学品生产企业安全生产许可证变更许可范围</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编制安全评价报告（生产装置新增产品或改变工艺技术专项安全验收评价报告及其安全验收评价报告）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《安全生产许可证条例》（国务院令653号）第六条第一款第（十）项、《危险化学品生产企业安全生产许可证实施办法》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5" w:hRule="atLeast"/>
          <w:jc w:val="center"/>
        </w:trPr>
        <w:tc>
          <w:tcPr>
            <w:tcW w:w="543"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14</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巴中市应急管理局</w:t>
            </w: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省级范围内危险化学品生产企业安全生产许可证核发（非中央企业及其直接控股涉及危险化学品生产企业〔总部〕）</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危险化学品经营许可证变更储存设施及监控措施</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编制专项安全评价报告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0"/>
                <w:szCs w:val="21"/>
                <w:lang w:bidi="ar"/>
              </w:rPr>
              <w:t>《安全生产许可证条例》（国务院令653号）第六条第一款第（十）项、《危险化学品生产企业安全生产许可证实施办法》</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15</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烟花爆竹经营（批发）许可</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烟花爆竹经营（批发）许可证核发</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编制安全评价报告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0"/>
                <w:szCs w:val="21"/>
                <w:lang w:bidi="ar"/>
              </w:rPr>
              <w:t>《烟花爆竹安全管理条例》</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16</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特种作业人员操作证核发</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特种作业操作证培训</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《安全生产法》第二十七条、《特种作业人员安全技术培训考核管理规定》</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具有B类、C类培训条件的培训机构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17</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危险化学品建设项目安全许可（安全条件审查）</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《危险化学品安全管理条例》（国务院令645号）第十二条、《危险化学品建设项目安全监督管理办法》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具有乙级以上资质的安全评价机构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18</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巴中市应急管理局</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危险化学品建设项目安全许可</w:t>
            </w:r>
          </w:p>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（安全设施设计审查）</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安全设施设计专篇</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《安全生产法》第三十条第二款、《危险化学品建设项目安全监督管理办法》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具有乙级以上的工程设计资质机构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19</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煤矿建设项目设计审查</w:t>
            </w:r>
          </w:p>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（含设计修改）</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建设项目初步设计</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《〈中华人民共和国矿产资源法〉实施细则》</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具有乙级以上的工程设计资质机构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0"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20</w:t>
            </w:r>
          </w:p>
        </w:tc>
        <w:tc>
          <w:tcPr>
            <w:tcW w:w="883"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巴中市商务局</w:t>
            </w:r>
          </w:p>
        </w:tc>
        <w:tc>
          <w:tcPr>
            <w:tcW w:w="3134" w:type="dxa"/>
            <w:gridSpan w:val="2"/>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对外劳务合作经营资格核准</w:t>
            </w:r>
          </w:p>
        </w:tc>
        <w:tc>
          <w:tcPr>
            <w:tcW w:w="738"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投资者具备投资能力的证明（包括企业验资报告或实缴注册资本的证明，法人股东出资能力证明，股东验资报告，股东财务审计报表，股东审计报告）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《对外劳务合作管理条例》（国务院令第620号）</w:t>
            </w:r>
          </w:p>
        </w:tc>
        <w:tc>
          <w:tcPr>
            <w:tcW w:w="1913" w:type="dxa"/>
            <w:noWrap/>
            <w:vAlign w:val="center"/>
          </w:tcPr>
          <w:p>
            <w:pPr>
              <w:spacing w:line="300" w:lineRule="exact"/>
              <w:ind w:left="-73" w:leftChars="-35" w:right="-53" w:rightChars="-25"/>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依法登记注册的会计师事务所</w:t>
            </w:r>
          </w:p>
        </w:tc>
        <w:tc>
          <w:tcPr>
            <w:tcW w:w="1399"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ind w:left="-73" w:leftChars="-35" w:right="-53" w:rightChars="-25"/>
              <w:jc w:val="center"/>
              <w:rPr>
                <w:rFonts w:ascii="仿宋_GB2312" w:hAnsi="仿宋" w:eastAsia="仿宋_GB2312" w:cs="仿宋"/>
                <w:kern w:val="0"/>
                <w:szCs w:val="21"/>
                <w:lang w:bidi="ar"/>
              </w:rPr>
            </w:pPr>
            <w:r>
              <w:rPr>
                <w:rFonts w:hint="eastAsia" w:ascii="仿宋_GB2312" w:hAnsi="仿宋" w:eastAsia="仿宋_GB2312" w:cs="仿宋"/>
                <w:kern w:val="0"/>
                <w:szCs w:val="21"/>
                <w:lang w:bidi="ar"/>
              </w:rPr>
              <w:t>实缴注册资本证明材料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21</w:t>
            </w:r>
          </w:p>
        </w:tc>
        <w:tc>
          <w:tcPr>
            <w:tcW w:w="883"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巴中市经济和信息化局</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无线电台（站）设置审批</w:t>
            </w:r>
          </w:p>
        </w:tc>
        <w:tc>
          <w:tcPr>
            <w:tcW w:w="738"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无线电台站址电磁环境测试报告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《无线电管理条例》</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具有CMA资质的无线电检测机构</w:t>
            </w:r>
          </w:p>
        </w:tc>
        <w:tc>
          <w:tcPr>
            <w:tcW w:w="13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22</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巴中市林业局</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勘查、开采矿藏和各项建设工程占用或者征收、征用林地审核</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建设项目使用林地可行性报告或者林地现状调查表</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《建设项目使用林地审核审批管理办法》（国家林业局第35号令）</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无资质要求</w:t>
            </w:r>
          </w:p>
        </w:tc>
        <w:tc>
          <w:tcPr>
            <w:tcW w:w="1399" w:type="dxa"/>
            <w:noWrap/>
            <w:vAlign w:val="center"/>
          </w:tcPr>
          <w:p>
            <w:pPr>
              <w:widowControl/>
              <w:spacing w:line="300" w:lineRule="exact"/>
              <w:ind w:left="-69" w:leftChars="-33" w:right="-76" w:rightChars="-36" w:firstLine="12" w:firstLineChars="6"/>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《中国林业工程建设协会关于印发〈林业行业调查规划项目收费指导意见〉的通知》（林建协〔2018〕15号）或双方协商约定</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2"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23</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临时占用林地审批</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建设项目使用林地可行性报告或者林地现状调查表</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《建设项目使用林地审核审批管理办法》（国家林业局第35号令）</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无资质要求</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《中国林业工程建设协会关于印发〈林业行业调查规划项目收费指导意见〉的通知》（林建协〔2018〕15号）或双方协商约定</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24</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林木采伐许可证核发</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伐区调查</w:t>
            </w:r>
          </w:p>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设计文件</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《四川省林木采伐管理办法》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无资质要求</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25</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巴中市发展和改革委员会</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企业、事业单位、社会团体等投资建设的固定资产投资项目核准（企业技术改造项目除外）</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项目申请报告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szCs w:val="21"/>
              </w:rPr>
              <w:t>《企业投资项目核准和备案管理条例》第六条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具有相关经验和能力的工程咨询单位</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3"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26</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固定资产投资项目节能审查（企业技术改造项目除外）</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节能报告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szCs w:val="21"/>
              </w:rPr>
              <w:t>《中华人民共和国节约能源法（2018修正）》第十五条及《固定资产投资项目节能审查办法》（中华人民共和国发改委令第44号）第七条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具有相关经验和能力的工程咨询单位</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7"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27</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巴中市教育和体育局</w:t>
            </w: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实施中等及中等以下学历教育、学前教育、自学考试助学及其他文化教育的学校设立、变更和终止审批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资产证明文件（含会计师事务所的验资报告或银行的资金证明）</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《中华人民共和国民办教育促进法》</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依法登记注册的会计师事务所或银行</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28</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实施专科教育的高等学校和其他高等教育机构的设立、变更和终止审批</w:t>
            </w:r>
          </w:p>
        </w:tc>
        <w:tc>
          <w:tcPr>
            <w:tcW w:w="14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实施专科教育的高等学校和其他高等教育机构的设立、变更审批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验资报告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《中华人民共和国民办教育促进法》</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依法登记注册的会计师事务所</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54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29</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巴中市自然资源和规划局</w:t>
            </w:r>
          </w:p>
        </w:tc>
        <w:tc>
          <w:tcPr>
            <w:tcW w:w="1635"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采矿权新立、延续、变更登记发证与注销登记</w:t>
            </w:r>
          </w:p>
        </w:tc>
        <w:tc>
          <w:tcPr>
            <w:tcW w:w="14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采矿权新立</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矿产资源开发利用方案、矿山地质环境保护与土地复垦方案、采矿权价款评估报告、储量核实报告或详查以上地质报告及图件</w:t>
            </w:r>
          </w:p>
        </w:tc>
        <w:tc>
          <w:tcPr>
            <w:tcW w:w="1843" w:type="dxa"/>
            <w:noWrap/>
            <w:vAlign w:val="center"/>
          </w:tcPr>
          <w:p>
            <w:pPr>
              <w:widowControl/>
              <w:spacing w:line="300" w:lineRule="exact"/>
              <w:ind w:left="-111"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szCs w:val="21"/>
              </w:rPr>
              <w:t>《矿产资源开采登记管理办法》第三条第三款、第五条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矿产资源开发利用方案、采矿权价款评估报告要具有相应资质</w:t>
            </w:r>
          </w:p>
        </w:tc>
        <w:tc>
          <w:tcPr>
            <w:tcW w:w="1399"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财综字〔1999〕74号、川价字〔1993〕63号、2010年地质调查项目预算标准、工程地质勘查设计收费标准</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widowControl/>
              <w:spacing w:line="300" w:lineRule="exact"/>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采矿权新立、延续、变更登记发证与注销登记</w:t>
            </w:r>
          </w:p>
        </w:tc>
        <w:tc>
          <w:tcPr>
            <w:tcW w:w="14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采矿权变更登记发证</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矿产资源开发利用方案、矿山地质环境保护与土地复垦方案、采矿权价款评估报告、储量核实报告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kern w:val="0"/>
                <w:szCs w:val="21"/>
                <w:lang w:bidi="ar"/>
              </w:rPr>
              <w:t>《矿产资源开采登记管理办法》第五条、第十五条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矿产资源开发利用方案、采矿权价款评估报告要具有相应资质</w:t>
            </w:r>
          </w:p>
        </w:tc>
        <w:tc>
          <w:tcPr>
            <w:tcW w:w="1399"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widowControl/>
              <w:spacing w:line="300" w:lineRule="exact"/>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kern w:val="0"/>
                <w:szCs w:val="21"/>
                <w:lang w:bidi="ar"/>
              </w:rPr>
            </w:pPr>
          </w:p>
        </w:tc>
        <w:tc>
          <w:tcPr>
            <w:tcW w:w="14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采矿权延续</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矿山地质环境保护与土地复垦方案、储量核实报告(近三年）</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《矿产资源开采登记管理办法》第五条、第七条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无资质要求</w:t>
            </w:r>
          </w:p>
        </w:tc>
        <w:tc>
          <w:tcPr>
            <w:tcW w:w="1399"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widowControl/>
              <w:spacing w:line="300" w:lineRule="exact"/>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kern w:val="0"/>
                <w:szCs w:val="21"/>
                <w:lang w:bidi="ar"/>
              </w:rPr>
            </w:pPr>
          </w:p>
        </w:tc>
        <w:tc>
          <w:tcPr>
            <w:tcW w:w="14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采矿权注销登记</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矿山闭坑报告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《中华人民共和国矿产资源法》、《矿产资源开采登记管理办法》第十六条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无资质要求</w:t>
            </w:r>
          </w:p>
        </w:tc>
        <w:tc>
          <w:tcPr>
            <w:tcW w:w="1399"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widowControl/>
              <w:spacing w:line="300" w:lineRule="exact"/>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30</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采矿权转让审批</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储量核实报告(近三年）、采矿权价款评估报告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《探矿权采矿权转让管理办法》第四条、第八条</w:t>
            </w:r>
          </w:p>
        </w:tc>
        <w:tc>
          <w:tcPr>
            <w:tcW w:w="191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采矿权价款评估报告要具有相应资质</w:t>
            </w:r>
          </w:p>
        </w:tc>
        <w:tc>
          <w:tcPr>
            <w:tcW w:w="1399"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widowControl/>
              <w:spacing w:line="300" w:lineRule="exact"/>
              <w:jc w:val="center"/>
              <w:textAlignment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4"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31</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巴中市自然资源和规划局</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开采矿产资源划定矿区范围批准</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地质报告及图件、矿产资源开发利用初步方案</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szCs w:val="21"/>
              </w:rPr>
              <w:t>《矿产资源开采登记管理办法》第四条</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无资质要求</w:t>
            </w:r>
          </w:p>
        </w:tc>
        <w:tc>
          <w:tcPr>
            <w:tcW w:w="1399" w:type="dxa"/>
            <w:noWrap/>
            <w:vAlign w:val="center"/>
          </w:tcPr>
          <w:p>
            <w:pPr>
              <w:widowControl/>
              <w:spacing w:line="300" w:lineRule="exact"/>
              <w:ind w:left="-53" w:leftChars="-25" w:right="-65" w:rightChars="-31"/>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财综字〔1999〕74号、川价字〔1993〕63号、2010年地质调查项目预算标准、工程地质勘查设计收费标准</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32</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建设用地改变用途审核</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土地价格评估</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《四川省〈中华人民共和国土地管理法〉实施办法》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具有相应评估资质的机构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33</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划拨土地使用权和地上建筑物所有权转让、出租审核</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土地价格评估</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《四川省〈中华人民共和国土地管理法〉实施办法》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具有相应评估资质的机构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34</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国有建设用地使用权出让后土地使用权分割转让批准</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土地价格评估</w:t>
            </w:r>
          </w:p>
        </w:tc>
        <w:tc>
          <w:tcPr>
            <w:tcW w:w="1843" w:type="dxa"/>
            <w:noWrap/>
            <w:vAlign w:val="center"/>
          </w:tcPr>
          <w:p>
            <w:pPr>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《四川省〈中华人民共和国土地管理法〉实施办法》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具有相应评估资质的机构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7"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35</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国有建设用地使用权协议出让审核</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土地价格评估</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《四川省〈中华人民共和国土地管理法〉实施办法》</w:t>
            </w:r>
          </w:p>
        </w:tc>
        <w:tc>
          <w:tcPr>
            <w:tcW w:w="191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具有相应评估资质的机构</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36</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巴中市公安局</w:t>
            </w: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爆破作业单位许可</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炸药库安全评估</w:t>
            </w:r>
          </w:p>
        </w:tc>
        <w:tc>
          <w:tcPr>
            <w:tcW w:w="1843" w:type="dxa"/>
            <w:noWrap/>
            <w:vAlign w:val="center"/>
          </w:tcPr>
          <w:p>
            <w:pPr>
              <w:spacing w:line="300" w:lineRule="exact"/>
              <w:ind w:left="-90" w:leftChars="-43" w:right="-53" w:rightChars="-25"/>
              <w:jc w:val="center"/>
              <w:rPr>
                <w:rFonts w:hint="eastAsia" w:ascii="仿宋_GB2312" w:hAnsi="仿宋" w:eastAsia="仿宋_GB2312" w:cs="仿宋"/>
                <w:szCs w:val="21"/>
              </w:rPr>
            </w:pPr>
            <w:r>
              <w:rPr>
                <w:rFonts w:hint="eastAsia" w:ascii="仿宋_GB2312" w:hAnsi="仿宋" w:eastAsia="仿宋_GB2312" w:cs="仿宋"/>
                <w:szCs w:val="21"/>
              </w:rPr>
              <w:t>《民用爆炸物品安全管理条例》(国务院令第466号)第三十一条第（二）款、《爆破作业单位资质条件和管理要求》（GA990—2012）</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具有乙级以上资质评估公司</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37</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城市、风景名胜区和重要工程设施附近实施爆破作业审批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安全评估</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《民用爆炸物品安全管理条例》(国务院令第466号)第三十五条、《爆破作业项目管理要求》（GA991—2012）</w:t>
            </w:r>
          </w:p>
        </w:tc>
        <w:tc>
          <w:tcPr>
            <w:tcW w:w="1913" w:type="dxa"/>
            <w:noWrap/>
            <w:vAlign w:val="center"/>
          </w:tcPr>
          <w:p>
            <w:pPr>
              <w:spacing w:line="26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具有一、二、三级资质的安全评估企业，二级资质单位进行B级（含）以下级别的爆破工程项目安全评估</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38</w:t>
            </w:r>
          </w:p>
        </w:tc>
        <w:tc>
          <w:tcPr>
            <w:tcW w:w="883"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巴中市农业农村局</w:t>
            </w: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pacing w:val="-8"/>
                <w:kern w:val="0"/>
                <w:szCs w:val="21"/>
                <w:lang w:bidi="ar"/>
              </w:rPr>
              <w:t>水下工程作业渔业资源及环境影响评价审查及补救措施审批</w:t>
            </w:r>
          </w:p>
        </w:tc>
        <w:tc>
          <w:tcPr>
            <w:tcW w:w="14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pacing w:val="-8"/>
                <w:kern w:val="0"/>
                <w:szCs w:val="21"/>
                <w:lang w:bidi="ar"/>
              </w:rPr>
              <w:t>水下工程作业渔业资源环境影响评价审查</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pacing w:val="-8"/>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pacing w:val="-8"/>
                <w:szCs w:val="21"/>
              </w:rPr>
              <w:t>专题报告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《四川省</w:t>
            </w:r>
            <w:r>
              <w:rPr>
                <w:rFonts w:hint="eastAsia" w:ascii="仿宋_GB2312" w:hAnsi="仿宋" w:eastAsia="仿宋_GB2312" w:cs="仿宋"/>
                <w:kern w:val="0"/>
                <w:szCs w:val="21"/>
                <w:lang w:bidi="ar"/>
              </w:rPr>
              <w:t>〈</w:t>
            </w:r>
            <w:r>
              <w:rPr>
                <w:rFonts w:hint="eastAsia" w:ascii="仿宋_GB2312" w:hAnsi="仿宋" w:eastAsia="仿宋_GB2312" w:cs="仿宋"/>
                <w:szCs w:val="21"/>
              </w:rPr>
              <w:t>中华人民共和国渔业法</w:t>
            </w:r>
            <w:r>
              <w:rPr>
                <w:rFonts w:hint="eastAsia" w:ascii="仿宋_GB2312" w:hAnsi="仿宋" w:eastAsia="仿宋_GB2312" w:cs="仿宋"/>
                <w:kern w:val="0"/>
                <w:szCs w:val="21"/>
                <w:lang w:bidi="ar"/>
              </w:rPr>
              <w:t>〉</w:t>
            </w:r>
            <w:r>
              <w:rPr>
                <w:rFonts w:hint="eastAsia" w:ascii="仿宋_GB2312" w:hAnsi="仿宋" w:eastAsia="仿宋_GB2312" w:cs="仿宋"/>
                <w:szCs w:val="21"/>
              </w:rPr>
              <w:t>实施办法》、《中华人民共和国野生动物保护法》、环境保护部、农业部《关于进一步加强水生生物资源保护严格环境影响评价管理的通知》（环发</w:t>
            </w:r>
            <w:r>
              <w:rPr>
                <w:rFonts w:hint="eastAsia" w:ascii="仿宋_GB2312" w:hAnsi="仿宋" w:eastAsia="仿宋_GB2312" w:cs="仿宋"/>
                <w:kern w:val="0"/>
                <w:szCs w:val="21"/>
                <w:lang w:bidi="ar"/>
              </w:rPr>
              <w:t>〔2013〕</w:t>
            </w:r>
            <w:r>
              <w:rPr>
                <w:rFonts w:hint="eastAsia" w:ascii="仿宋_GB2312" w:hAnsi="仿宋" w:eastAsia="仿宋_GB2312" w:cs="仿宋"/>
                <w:szCs w:val="21"/>
              </w:rPr>
              <w:t>86号）</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农业部办公厅《关于印发建设项目对国家级水产种质资源保护区影响专题论证报告编制指南的通知》（农办渔</w:t>
            </w:r>
            <w:r>
              <w:rPr>
                <w:rFonts w:hint="eastAsia" w:ascii="仿宋_GB2312" w:hAnsi="仿宋" w:eastAsia="仿宋_GB2312" w:cs="仿宋"/>
                <w:kern w:val="0"/>
                <w:szCs w:val="21"/>
                <w:lang w:bidi="ar"/>
              </w:rPr>
              <w:t>〔2014〕</w:t>
            </w:r>
            <w:r>
              <w:rPr>
                <w:rFonts w:hint="eastAsia" w:ascii="仿宋_GB2312" w:hAnsi="仿宋" w:eastAsia="仿宋_GB2312" w:cs="仿宋"/>
                <w:szCs w:val="21"/>
              </w:rPr>
              <w:t>14号）</w:t>
            </w:r>
          </w:p>
        </w:tc>
        <w:tc>
          <w:tcPr>
            <w:tcW w:w="1399" w:type="dxa"/>
            <w:noWrap/>
            <w:vAlign w:val="center"/>
          </w:tcPr>
          <w:p>
            <w:pPr>
              <w:widowControl/>
              <w:spacing w:line="300" w:lineRule="exact"/>
              <w:jc w:val="center"/>
              <w:textAlignment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市场调节价</w:t>
            </w:r>
          </w:p>
        </w:tc>
        <w:tc>
          <w:tcPr>
            <w:tcW w:w="156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39</w:t>
            </w:r>
          </w:p>
        </w:tc>
        <w:tc>
          <w:tcPr>
            <w:tcW w:w="883"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巴中市农业农村局</w:t>
            </w:r>
          </w:p>
        </w:tc>
        <w:tc>
          <w:tcPr>
            <w:tcW w:w="3134" w:type="dxa"/>
            <w:gridSpan w:val="2"/>
            <w:noWrap/>
            <w:vAlign w:val="center"/>
          </w:tcPr>
          <w:p>
            <w:pPr>
              <w:spacing w:line="300" w:lineRule="exact"/>
              <w:ind w:left="-40" w:leftChars="-19" w:right="-48" w:rightChars="-23"/>
              <w:jc w:val="center"/>
              <w:rPr>
                <w:rFonts w:hint="eastAsia" w:ascii="仿宋_GB2312" w:hAnsi="仿宋" w:eastAsia="仿宋_GB2312" w:cs="仿宋"/>
                <w:szCs w:val="21"/>
              </w:rPr>
            </w:pPr>
            <w:r>
              <w:rPr>
                <w:rFonts w:hint="eastAsia" w:ascii="仿宋_GB2312" w:hAnsi="仿宋" w:eastAsia="仿宋_GB2312" w:cs="仿宋"/>
                <w:kern w:val="0"/>
                <w:szCs w:val="21"/>
                <w:lang w:bidi="ar"/>
              </w:rPr>
              <w:t>新建或迁建农村机电提灌站审批</w:t>
            </w:r>
          </w:p>
        </w:tc>
        <w:tc>
          <w:tcPr>
            <w:tcW w:w="738" w:type="dxa"/>
            <w:noWrap/>
            <w:vAlign w:val="center"/>
          </w:tcPr>
          <w:p>
            <w:pPr>
              <w:spacing w:line="300" w:lineRule="exact"/>
              <w:ind w:left="-40" w:leftChars="-19" w:right="-48" w:rightChars="-23"/>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shd w:val="clear" w:color="auto" w:fill="FFFFFF"/>
              </w:rPr>
              <w:t>符合国家有关标准、规程的设计报告和设计图册</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shd w:val="clear" w:color="auto" w:fill="FFFFFF"/>
              </w:rPr>
              <w:t>《四川省农村机电提灌管理》</w:t>
            </w:r>
          </w:p>
        </w:tc>
        <w:tc>
          <w:tcPr>
            <w:tcW w:w="191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shd w:val="clear" w:color="auto" w:fill="FFFFFF"/>
              </w:rPr>
              <w:t>具有国家农村机电提灌设计资质单位</w:t>
            </w:r>
          </w:p>
        </w:tc>
        <w:tc>
          <w:tcPr>
            <w:tcW w:w="1399"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kern w:val="0"/>
                <w:szCs w:val="21"/>
                <w:lang w:bidi="ar"/>
              </w:rPr>
              <w:t>市场调节价</w:t>
            </w:r>
          </w:p>
        </w:tc>
        <w:tc>
          <w:tcPr>
            <w:tcW w:w="1561" w:type="dxa"/>
            <w:noWrap/>
            <w:vAlign w:val="center"/>
          </w:tcPr>
          <w:p>
            <w:pPr>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54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40</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巴中市水利局</w:t>
            </w:r>
          </w:p>
        </w:tc>
        <w:tc>
          <w:tcPr>
            <w:tcW w:w="1635"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水利基建项目初步设计文件审批</w:t>
            </w:r>
          </w:p>
        </w:tc>
        <w:tc>
          <w:tcPr>
            <w:tcW w:w="1499" w:type="dxa"/>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初步设计、文件审批</w:t>
            </w:r>
          </w:p>
        </w:tc>
        <w:tc>
          <w:tcPr>
            <w:tcW w:w="738"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水利基建项目初步设计文件编制</w:t>
            </w:r>
          </w:p>
        </w:tc>
        <w:tc>
          <w:tcPr>
            <w:tcW w:w="1843" w:type="dxa"/>
            <w:vMerge w:val="restart"/>
            <w:noWrap/>
            <w:vAlign w:val="center"/>
          </w:tcPr>
          <w:p>
            <w:pPr>
              <w:widowControl/>
              <w:spacing w:line="26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中华人民共和国建筑法》、《建设工程勘察设计管理条例》（国务院令第293号）、《国务院对确需保留的行政审批项目设定行政许可的决定》（国务院令第412号）、《水利基本建设投资计划管理暂行办法》（水规计〔2003〕344号)</w:t>
            </w:r>
          </w:p>
        </w:tc>
        <w:tc>
          <w:tcPr>
            <w:tcW w:w="1913" w:type="dxa"/>
            <w:vMerge w:val="restart"/>
            <w:noWrap/>
            <w:vAlign w:val="center"/>
          </w:tcPr>
          <w:p>
            <w:pPr>
              <w:widowControl/>
              <w:spacing w:line="300" w:lineRule="exact"/>
              <w:ind w:left="-73" w:leftChars="-35" w:right="-53" w:rightChars="-25"/>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具有相应资</w:t>
            </w:r>
          </w:p>
          <w:p>
            <w:pPr>
              <w:widowControl/>
              <w:spacing w:line="300" w:lineRule="exact"/>
              <w:ind w:left="-73" w:leftChars="-35" w:right="-53" w:rightChars="-25"/>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质的勘测</w:t>
            </w:r>
          </w:p>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设计单位</w:t>
            </w:r>
          </w:p>
        </w:tc>
        <w:tc>
          <w:tcPr>
            <w:tcW w:w="1399"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《国家发展改革委关于进一步放开建设项目专业服务价格的通知》（发改价格〔2015〕299号）</w:t>
            </w:r>
          </w:p>
        </w:tc>
        <w:tc>
          <w:tcPr>
            <w:tcW w:w="1561"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双方协商约定</w:t>
            </w:r>
          </w:p>
        </w:tc>
        <w:tc>
          <w:tcPr>
            <w:tcW w:w="742" w:type="dxa"/>
            <w:vMerge w:val="restart"/>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7"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vMerge w:val="continue"/>
            <w:noWrap/>
            <w:vAlign w:val="center"/>
          </w:tcPr>
          <w:p>
            <w:pPr>
              <w:spacing w:line="300" w:lineRule="exact"/>
              <w:jc w:val="center"/>
              <w:rPr>
                <w:rFonts w:hint="eastAsia" w:ascii="仿宋_GB2312" w:hAnsi="仿宋" w:eastAsia="仿宋_GB2312" w:cs="仿宋"/>
                <w:szCs w:val="21"/>
              </w:rPr>
            </w:pPr>
          </w:p>
        </w:tc>
        <w:tc>
          <w:tcPr>
            <w:tcW w:w="1499" w:type="dxa"/>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重大设计变更文件（含概算调整）审批</w:t>
            </w:r>
          </w:p>
        </w:tc>
        <w:tc>
          <w:tcPr>
            <w:tcW w:w="738" w:type="dxa"/>
            <w:vMerge w:val="continue"/>
            <w:noWrap/>
            <w:vAlign w:val="center"/>
          </w:tcPr>
          <w:p>
            <w:pPr>
              <w:spacing w:line="300" w:lineRule="exact"/>
              <w:jc w:val="center"/>
              <w:rPr>
                <w:rFonts w:hint="eastAsia" w:ascii="仿宋_GB2312" w:hAnsi="仿宋" w:eastAsia="仿宋_GB2312" w:cs="仿宋"/>
                <w:szCs w:val="21"/>
              </w:rPr>
            </w:pPr>
          </w:p>
        </w:tc>
        <w:tc>
          <w:tcPr>
            <w:tcW w:w="2011" w:type="dxa"/>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设计变更报告（含概算调整）编制</w:t>
            </w:r>
          </w:p>
        </w:tc>
        <w:tc>
          <w:tcPr>
            <w:tcW w:w="1843" w:type="dxa"/>
            <w:vMerge w:val="continue"/>
            <w:noWrap/>
            <w:vAlign w:val="center"/>
          </w:tcPr>
          <w:p>
            <w:pPr>
              <w:widowControl/>
              <w:spacing w:line="300" w:lineRule="exact"/>
              <w:ind w:left="-73" w:leftChars="-35" w:right="-53" w:rightChars="-25"/>
              <w:jc w:val="center"/>
              <w:textAlignment w:val="center"/>
              <w:rPr>
                <w:rFonts w:hint="eastAsia" w:ascii="仿宋_GB2312" w:hAnsi="仿宋" w:eastAsia="仿宋_GB2312" w:cs="仿宋"/>
                <w:color w:val="000000"/>
                <w:kern w:val="0"/>
                <w:szCs w:val="21"/>
                <w:lang w:bidi="ar"/>
              </w:rPr>
            </w:pPr>
          </w:p>
        </w:tc>
        <w:tc>
          <w:tcPr>
            <w:tcW w:w="1913" w:type="dxa"/>
            <w:vMerge w:val="continue"/>
            <w:noWrap/>
            <w:vAlign w:val="center"/>
          </w:tcPr>
          <w:p>
            <w:pPr>
              <w:widowControl/>
              <w:spacing w:line="300" w:lineRule="exact"/>
              <w:ind w:left="-73" w:leftChars="-35" w:right="-53" w:rightChars="-25"/>
              <w:jc w:val="center"/>
              <w:textAlignment w:val="center"/>
              <w:rPr>
                <w:rFonts w:hint="eastAsia" w:ascii="仿宋_GB2312" w:hAnsi="仿宋" w:eastAsia="仿宋_GB2312" w:cs="仿宋"/>
                <w:color w:val="000000"/>
                <w:kern w:val="0"/>
                <w:szCs w:val="21"/>
                <w:lang w:bidi="ar"/>
              </w:rPr>
            </w:pPr>
          </w:p>
        </w:tc>
        <w:tc>
          <w:tcPr>
            <w:tcW w:w="1399" w:type="dxa"/>
            <w:vMerge w:val="continue"/>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p>
        </w:tc>
        <w:tc>
          <w:tcPr>
            <w:tcW w:w="1561" w:type="dxa"/>
            <w:vMerge w:val="continue"/>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p>
        </w:tc>
        <w:tc>
          <w:tcPr>
            <w:tcW w:w="742" w:type="dxa"/>
            <w:vMerge w:val="continue"/>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0"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41</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水利工程可行性研究报告审查</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水利工程可行性研究报告编制</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《四川省水利工程管理条例》（四川省第十二届人民代表大会常务委员会第三十三次会议通过）</w:t>
            </w:r>
          </w:p>
        </w:tc>
        <w:tc>
          <w:tcPr>
            <w:tcW w:w="1913" w:type="dxa"/>
            <w:noWrap/>
            <w:vAlign w:val="center"/>
          </w:tcPr>
          <w:p>
            <w:pPr>
              <w:spacing w:line="300" w:lineRule="exact"/>
              <w:ind w:left="-73" w:leftChars="-35" w:right="-53" w:rightChars="-25"/>
              <w:jc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具有相应资</w:t>
            </w:r>
          </w:p>
          <w:p>
            <w:pPr>
              <w:spacing w:line="300" w:lineRule="exact"/>
              <w:ind w:left="-73" w:leftChars="-35" w:right="-53" w:rightChars="-25"/>
              <w:jc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质的勘测</w:t>
            </w:r>
          </w:p>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设计单位</w:t>
            </w:r>
          </w:p>
        </w:tc>
        <w:tc>
          <w:tcPr>
            <w:tcW w:w="1399" w:type="dxa"/>
            <w:noWrap/>
            <w:vAlign w:val="center"/>
          </w:tcPr>
          <w:p>
            <w:pPr>
              <w:spacing w:line="24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《国家发展改革委关于进一步放开建设项目专业服务价格的通知》（发改价格〔2015〕299号）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42</w:t>
            </w:r>
          </w:p>
        </w:tc>
        <w:tc>
          <w:tcPr>
            <w:tcW w:w="883" w:type="dxa"/>
            <w:vMerge w:val="restart"/>
            <w:noWrap/>
            <w:vAlign w:val="center"/>
          </w:tcPr>
          <w:p>
            <w:pPr>
              <w:spacing w:line="300" w:lineRule="exact"/>
              <w:jc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巴中市交通运输局（路政支队）</w:t>
            </w: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占用、挖掘公路、公路用地或者使公路改线审批</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保障公路、公路附属设施质量和安全的技术评价报告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《公路安全保护条例》</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无资质要求</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7" w:hRule="atLeast"/>
          <w:jc w:val="center"/>
        </w:trPr>
        <w:tc>
          <w:tcPr>
            <w:tcW w:w="543" w:type="dxa"/>
            <w:noWrap/>
            <w:vAlign w:val="center"/>
          </w:tcPr>
          <w:p>
            <w:pPr>
              <w:spacing w:line="300" w:lineRule="exact"/>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43</w:t>
            </w:r>
          </w:p>
        </w:tc>
        <w:tc>
          <w:tcPr>
            <w:tcW w:w="883" w:type="dxa"/>
            <w:vMerge w:val="continue"/>
            <w:noWrap/>
            <w:vAlign w:val="center"/>
          </w:tcPr>
          <w:p>
            <w:pPr>
              <w:spacing w:line="300" w:lineRule="exact"/>
              <w:jc w:val="center"/>
              <w:rPr>
                <w:rFonts w:hint="eastAsia" w:ascii="仿宋_GB2312" w:hAnsi="仿宋" w:eastAsia="仿宋_GB2312" w:cs="仿宋"/>
                <w:color w:val="000000"/>
                <w:kern w:val="0"/>
                <w:szCs w:val="21"/>
                <w:lang w:bidi="ar"/>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跨越、穿越公路及在公路用地范围内架设、埋设管线、电缆等设施，或者利用公路桥梁、公路隧道、涵洞铺设电缆等设施许可</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保障公路、公路附属设施质量和安全的技术评价报告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《公路安全保护条例》</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无资质要求</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44</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公路建筑控制区内埋设管线、电缆等设施许可</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保障公路、公路附属设施质量和安全的技术评价报告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《公路安全保护条例》</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无资质要求</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2"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45</w:t>
            </w:r>
          </w:p>
        </w:tc>
        <w:tc>
          <w:tcPr>
            <w:tcW w:w="883" w:type="dxa"/>
            <w:vMerge w:val="continue"/>
            <w:noWrap/>
            <w:vAlign w:val="center"/>
          </w:tcPr>
          <w:p>
            <w:pPr>
              <w:widowControl/>
              <w:spacing w:line="300" w:lineRule="exact"/>
              <w:jc w:val="center"/>
              <w:textAlignment w:val="top"/>
              <w:rPr>
                <w:rFonts w:hint="eastAsia" w:ascii="仿宋_GB2312" w:hAnsi="仿宋" w:eastAsia="仿宋_GB2312" w:cs="仿宋"/>
                <w:szCs w:val="21"/>
              </w:rPr>
            </w:pPr>
          </w:p>
        </w:tc>
        <w:tc>
          <w:tcPr>
            <w:tcW w:w="3134" w:type="dxa"/>
            <w:gridSpan w:val="2"/>
            <w:noWrap/>
            <w:vAlign w:val="center"/>
          </w:tcPr>
          <w:p>
            <w:pPr>
              <w:widowControl/>
              <w:spacing w:line="300" w:lineRule="exact"/>
              <w:jc w:val="center"/>
              <w:textAlignment w:val="center"/>
              <w:rPr>
                <w:rFonts w:hint="eastAsia" w:ascii="仿宋_GB2312" w:hAnsi="仿宋" w:eastAsia="仿宋_GB2312" w:cs="仿宋"/>
                <w:color w:val="000000"/>
                <w:kern w:val="0"/>
                <w:szCs w:val="21"/>
                <w:lang w:bidi="ar"/>
              </w:rPr>
            </w:pPr>
            <w:r>
              <w:rPr>
                <w:rFonts w:hint="eastAsia" w:ascii="仿宋_GB2312" w:hAnsi="仿宋" w:eastAsia="仿宋_GB2312" w:cs="仿宋"/>
                <w:color w:val="000000"/>
                <w:kern w:val="0"/>
                <w:szCs w:val="21"/>
                <w:lang w:bidi="ar"/>
              </w:rPr>
              <w:t>在公路增设或改造平面</w:t>
            </w:r>
          </w:p>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交叉道口审批</w:t>
            </w:r>
          </w:p>
        </w:tc>
        <w:tc>
          <w:tcPr>
            <w:tcW w:w="738"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行政许可</w:t>
            </w:r>
          </w:p>
        </w:tc>
        <w:tc>
          <w:tcPr>
            <w:tcW w:w="2011"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保障公路、公路附属设施质量和安全的技术评价报告</w:t>
            </w:r>
          </w:p>
        </w:tc>
        <w:tc>
          <w:tcPr>
            <w:tcW w:w="1843" w:type="dxa"/>
            <w:noWrap/>
            <w:vAlign w:val="center"/>
          </w:tcPr>
          <w:p>
            <w:pPr>
              <w:widowControl/>
              <w:spacing w:line="300" w:lineRule="exact"/>
              <w:ind w:left="-73" w:leftChars="-35" w:right="-53" w:rightChars="-25"/>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《公路安全保护条例》</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无资质要求</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4"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46</w:t>
            </w:r>
          </w:p>
        </w:tc>
        <w:tc>
          <w:tcPr>
            <w:tcW w:w="883"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巴中市市场监督管理局</w:t>
            </w: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企业设立、变更、注销登记</w:t>
            </w:r>
          </w:p>
        </w:tc>
        <w:tc>
          <w:tcPr>
            <w:tcW w:w="14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非公司企业法人、股份有限公司登记</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验资证明</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《中华人民共和国公司登记管理条例》、《中华人民共和国企业法人登记管理条例》</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具有省级财政部门核发的执业证书的会计师事务所</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《四川省会计师事务所服务收费管理办法》（川发改价〔2013〕901号）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6"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47</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1635"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特种设备作业人员资格认定</w:t>
            </w:r>
          </w:p>
        </w:tc>
        <w:tc>
          <w:tcPr>
            <w:tcW w:w="1499" w:type="dxa"/>
            <w:noWrap/>
            <w:vAlign w:val="center"/>
          </w:tcPr>
          <w:p>
            <w:pPr>
              <w:spacing w:line="300" w:lineRule="exact"/>
              <w:jc w:val="center"/>
              <w:rPr>
                <w:rFonts w:hint="eastAsia" w:ascii="仿宋_GB2312" w:hAnsi="仿宋" w:eastAsia="仿宋_GB2312" w:cs="仿宋"/>
                <w:w w:val="90"/>
                <w:szCs w:val="21"/>
              </w:rPr>
            </w:pPr>
            <w:r>
              <w:rPr>
                <w:rFonts w:hint="eastAsia" w:ascii="仿宋_GB2312" w:hAnsi="仿宋" w:eastAsia="仿宋_GB2312" w:cs="仿宋"/>
                <w:szCs w:val="21"/>
              </w:rPr>
              <w:t>特种设备作业人员资格认定发证、特种设备作业人员资格认定复审</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技能培训合格证明</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《中华人民共和国特种设备安全法》</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经省级市场监管部门（原质监局）、市人力资源社会保障局批准的培训机构</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《四川省短期培训班收费管理暂行办法》（川价发〔2006〕223号）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按合同约定和省财政厅指导意见</w:t>
            </w:r>
          </w:p>
        </w:tc>
        <w:tc>
          <w:tcPr>
            <w:tcW w:w="742" w:type="dxa"/>
            <w:noWrap/>
            <w:vAlign w:val="center"/>
          </w:tcPr>
          <w:p>
            <w:pPr>
              <w:spacing w:line="300" w:lineRule="exact"/>
              <w:jc w:val="center"/>
              <w:rPr>
                <w:rFonts w:ascii="仿宋_GB2312" w:hAnsi="仿宋" w:eastAsia="仿宋_GB2312" w:cs="仿宋"/>
                <w:szCs w:val="21"/>
              </w:rPr>
            </w:pPr>
            <w:r>
              <w:rPr>
                <w:rFonts w:hint="eastAsia" w:ascii="仿宋_GB2312" w:hAnsi="仿宋" w:eastAsia="仿宋_GB2312" w:cs="仿宋"/>
                <w:szCs w:val="21"/>
              </w:rPr>
              <w:t>特种设备和焊工作业人员资格提供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1"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48</w:t>
            </w:r>
          </w:p>
        </w:tc>
        <w:tc>
          <w:tcPr>
            <w:tcW w:w="883" w:type="dxa"/>
            <w:vMerge w:val="restart"/>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巴中市住房和城乡建设局</w:t>
            </w: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建筑工程施工许可证核发</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施工图设计审查合格书</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《四川省建筑管理条例》（</w:t>
            </w:r>
            <w:r>
              <w:rPr>
                <w:rFonts w:hint="eastAsia" w:ascii="仿宋_GB2312" w:hAnsi="仿宋" w:eastAsia="仿宋_GB2312" w:cs="仿宋"/>
                <w:szCs w:val="21"/>
              </w:rPr>
              <w:fldChar w:fldCharType="begin"/>
            </w:r>
            <w:r>
              <w:rPr>
                <w:rFonts w:hint="eastAsia" w:ascii="仿宋_GB2312" w:hAnsi="仿宋" w:eastAsia="仿宋_GB2312" w:cs="仿宋"/>
                <w:szCs w:val="21"/>
              </w:rPr>
              <w:instrText xml:space="preserve"> HYPERLINK "http://www.moa.gov.cn/zwllm/tzgg/bl/201607/P020160726337806853711.doc"</w:instrText>
            </w:r>
            <w:r>
              <w:rPr>
                <w:rFonts w:hint="eastAsia" w:ascii="仿宋_GB2312" w:hAnsi="仿宋" w:eastAsia="仿宋_GB2312" w:cs="仿宋"/>
                <w:szCs w:val="21"/>
              </w:rPr>
              <w:fldChar w:fldCharType="separate"/>
            </w:r>
            <w:r>
              <w:rPr>
                <w:rFonts w:hint="eastAsia" w:ascii="仿宋_GB2312" w:hAnsi="仿宋" w:eastAsia="仿宋_GB2312" w:cs="仿宋"/>
                <w:szCs w:val="21"/>
              </w:rPr>
              <w:t>四川省人大常委会公告第83号</w:t>
            </w:r>
            <w:r>
              <w:rPr>
                <w:rFonts w:hint="eastAsia" w:ascii="仿宋_GB2312" w:hAnsi="仿宋" w:eastAsia="仿宋_GB2312" w:cs="仿宋"/>
                <w:szCs w:val="21"/>
              </w:rPr>
              <w:fldChar w:fldCharType="end"/>
            </w:r>
            <w:r>
              <w:rPr>
                <w:rFonts w:hint="eastAsia" w:ascii="仿宋_GB2312" w:hAnsi="仿宋" w:eastAsia="仿宋_GB2312" w:cs="仿宋"/>
                <w:szCs w:val="21"/>
              </w:rPr>
              <w:t>）</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一类审查机构：承接房屋建筑、市政基础设施工程施工图审查业务范围不受限制；二类审查机构可以承接中型及以下房屋建筑、市政基础设施工程的施工图审查</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川发改价格〔2011〕323号文件、川建勘设科发〔2013〕487号文件</w:t>
            </w:r>
          </w:p>
        </w:tc>
        <w:tc>
          <w:tcPr>
            <w:tcW w:w="1561" w:type="dxa"/>
            <w:noWrap/>
            <w:vAlign w:val="center"/>
          </w:tcPr>
          <w:p>
            <w:pPr>
              <w:spacing w:line="240" w:lineRule="exact"/>
              <w:jc w:val="center"/>
              <w:rPr>
                <w:rFonts w:hint="eastAsia" w:ascii="仿宋_GB2312" w:hAnsi="仿宋" w:eastAsia="仿宋_GB2312" w:cs="仿宋"/>
                <w:szCs w:val="21"/>
              </w:rPr>
            </w:pPr>
            <w:r>
              <w:rPr>
                <w:rFonts w:hint="eastAsia" w:ascii="仿宋_GB2312" w:hAnsi="仿宋" w:eastAsia="仿宋_GB2312" w:cs="仿宋"/>
                <w:szCs w:val="21"/>
              </w:rPr>
              <w:t>建设部第13号令《房屋建筑和市政基础设施工程施工图设计文件审查管理办法》第十二条规定：大型房屋建筑工程、市政基础设施工程为15个工作日，中型及以下房屋建筑工程、市政基础设施工程为10个工作日。工程勘察文件，甲级项目为7个工作日，乙级及以下项目为5个工作日。</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4"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49</w:t>
            </w:r>
          </w:p>
        </w:tc>
        <w:tc>
          <w:tcPr>
            <w:tcW w:w="883" w:type="dxa"/>
            <w:vMerge w:val="continue"/>
            <w:noWrap/>
            <w:vAlign w:val="center"/>
          </w:tcPr>
          <w:p>
            <w:pPr>
              <w:spacing w:line="300" w:lineRule="exact"/>
              <w:jc w:val="center"/>
              <w:rPr>
                <w:rFonts w:hint="eastAsia" w:ascii="仿宋_GB2312" w:hAnsi="仿宋" w:eastAsia="仿宋_GB2312" w:cs="仿宋"/>
                <w:kern w:val="0"/>
                <w:szCs w:val="21"/>
                <w:lang w:bidi="ar"/>
              </w:rPr>
            </w:pP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商品房</w:t>
            </w:r>
          </w:p>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预售许可</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商品房预测绘报告</w:t>
            </w:r>
          </w:p>
        </w:tc>
        <w:tc>
          <w:tcPr>
            <w:tcW w:w="1843" w:type="dxa"/>
            <w:noWrap/>
            <w:vAlign w:val="center"/>
          </w:tcPr>
          <w:p>
            <w:pPr>
              <w:widowControl/>
              <w:shd w:val="clear" w:color="auto" w:fill="FFFFFF"/>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《城市房地产开发经营管理条例》、《城市商品房预售管理办法》（建设部令131号）</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丙级，职业范围：单栋房屋建筑面积5万平方米以下</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国测财字〔2002〕3号。住宅1.36元/</w:t>
            </w:r>
            <w:r>
              <w:rPr>
                <w:rFonts w:hint="eastAsia" w:ascii="仿宋_GB2312" w:hAnsi="仿宋" w:eastAsia="仿宋" w:cs="仿宋"/>
                <w:szCs w:val="21"/>
              </w:rPr>
              <w:t>㎡</w:t>
            </w:r>
            <w:r>
              <w:rPr>
                <w:rFonts w:hint="eastAsia" w:ascii="仿宋_GB2312" w:hAnsi="仿宋" w:eastAsia="仿宋_GB2312" w:cs="仿宋"/>
                <w:szCs w:val="21"/>
              </w:rPr>
              <w:t>；商业2.04元/</w:t>
            </w:r>
            <w:r>
              <w:rPr>
                <w:rFonts w:hint="eastAsia" w:ascii="仿宋_GB2312" w:hAnsi="仿宋" w:eastAsia="仿宋" w:cs="仿宋"/>
                <w:szCs w:val="21"/>
              </w:rPr>
              <w:t>㎡</w:t>
            </w:r>
            <w:r>
              <w:rPr>
                <w:rFonts w:hint="eastAsia" w:ascii="仿宋_GB2312" w:hAnsi="仿宋" w:eastAsia="仿宋_GB2312" w:cs="仿宋"/>
                <w:szCs w:val="21"/>
              </w:rPr>
              <w:t>；综合2.72元/</w:t>
            </w:r>
            <w:r>
              <w:rPr>
                <w:rFonts w:hint="eastAsia" w:ascii="仿宋_GB2312" w:hAnsi="仿宋" w:eastAsia="仿宋" w:cs="仿宋"/>
                <w:szCs w:val="21"/>
              </w:rPr>
              <w:t>㎡</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7"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50</w:t>
            </w:r>
          </w:p>
        </w:tc>
        <w:tc>
          <w:tcPr>
            <w:tcW w:w="883" w:type="dxa"/>
            <w:vMerge w:val="restart"/>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kern w:val="0"/>
                <w:szCs w:val="21"/>
                <w:lang w:bidi="ar"/>
              </w:rPr>
              <w:t>巴中市住房和城乡建设局</w:t>
            </w:r>
          </w:p>
        </w:tc>
        <w:tc>
          <w:tcPr>
            <w:tcW w:w="3134" w:type="dxa"/>
            <w:gridSpan w:val="2"/>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城镇污水排入排水管网许可</w:t>
            </w:r>
          </w:p>
        </w:tc>
        <w:tc>
          <w:tcPr>
            <w:tcW w:w="738"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排水水质、水量检测报告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kern w:val="0"/>
                <w:szCs w:val="21"/>
                <w:lang w:bidi="ar"/>
              </w:rPr>
            </w:pPr>
            <w:r>
              <w:rPr>
                <w:rFonts w:hint="eastAsia" w:ascii="仿宋_GB2312" w:hAnsi="仿宋" w:eastAsia="仿宋_GB2312" w:cs="仿宋"/>
                <w:szCs w:val="21"/>
              </w:rPr>
              <w:t>《城镇排水与污水处理条例》（国务院令第641号）第二十二条、《城镇污水排入排水管网许可管理办法》</w:t>
            </w:r>
          </w:p>
        </w:tc>
        <w:tc>
          <w:tcPr>
            <w:tcW w:w="1913" w:type="dxa"/>
            <w:noWrap/>
            <w:vAlign w:val="center"/>
          </w:tcPr>
          <w:p>
            <w:pPr>
              <w:spacing w:line="300" w:lineRule="exact"/>
              <w:ind w:left="-73" w:leftChars="-35" w:right="-53" w:rightChars="-25"/>
              <w:jc w:val="center"/>
              <w:rPr>
                <w:rFonts w:hint="eastAsia" w:ascii="仿宋_GB2312" w:hAnsi="仿宋" w:eastAsia="仿宋_GB2312" w:cs="仿宋"/>
                <w:kern w:val="0"/>
                <w:szCs w:val="21"/>
                <w:lang w:bidi="ar"/>
              </w:rPr>
            </w:pPr>
            <w:r>
              <w:rPr>
                <w:rFonts w:hint="eastAsia" w:ascii="仿宋_GB2312" w:hAnsi="仿宋" w:eastAsia="仿宋_GB2312" w:cs="仿宋"/>
                <w:szCs w:val="21"/>
              </w:rPr>
              <w:t>依法登记注册的检验检测机构</w:t>
            </w:r>
          </w:p>
        </w:tc>
        <w:tc>
          <w:tcPr>
            <w:tcW w:w="1399"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市场调节价</w:t>
            </w:r>
          </w:p>
        </w:tc>
        <w:tc>
          <w:tcPr>
            <w:tcW w:w="1561" w:type="dxa"/>
            <w:noWrap/>
            <w:vAlign w:val="center"/>
          </w:tcPr>
          <w:p>
            <w:pPr>
              <w:spacing w:line="300" w:lineRule="exact"/>
              <w:jc w:val="center"/>
              <w:rPr>
                <w:rFonts w:hint="eastAsia" w:ascii="仿宋_GB2312" w:hAnsi="仿宋" w:eastAsia="仿宋_GB2312" w:cs="仿宋"/>
                <w:kern w:val="0"/>
                <w:szCs w:val="21"/>
                <w:lang w:bidi="ar"/>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hint="eastAsia" w:ascii="仿宋_GB2312" w:hAnsi="仿宋" w:eastAsia="仿宋_GB2312" w:cs="仿宋"/>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9" w:hRule="atLeast"/>
          <w:jc w:val="center"/>
        </w:trPr>
        <w:tc>
          <w:tcPr>
            <w:tcW w:w="543" w:type="dxa"/>
            <w:noWrap/>
            <w:vAlign w:val="center"/>
          </w:tcPr>
          <w:p>
            <w:pPr>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color w:val="000000"/>
                <w:kern w:val="0"/>
                <w:szCs w:val="21"/>
                <w:lang w:bidi="ar"/>
              </w:rPr>
              <w:t>51</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燃气经营许可证核发</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燃气气质检测报告</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《城镇燃气管理条例》（国务院令583号）第十五条</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依法登记注册的检验检测机构</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jc w:val="center"/>
        </w:trPr>
        <w:tc>
          <w:tcPr>
            <w:tcW w:w="543" w:type="dxa"/>
            <w:vMerge w:val="restart"/>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52</w:t>
            </w: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应建防空地下室的民用建设项目报建审批</w:t>
            </w:r>
          </w:p>
        </w:tc>
        <w:tc>
          <w:tcPr>
            <w:tcW w:w="738" w:type="dxa"/>
            <w:vMerge w:val="restart"/>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人防施工图和防护方面的初步设计文件编制</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《中华人民共和国人民防空法》（主席令第18号）、《人民防空工程建设管理规定》（国人防〔2003〕18号）</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建筑面积10000</w:t>
            </w:r>
            <w:r>
              <w:rPr>
                <w:rFonts w:hint="eastAsia" w:ascii="仿宋_GB2312" w:hAnsi="仿宋" w:eastAsia="仿宋" w:cs="仿宋"/>
                <w:szCs w:val="21"/>
              </w:rPr>
              <w:t>㎡</w:t>
            </w:r>
            <w:r>
              <w:rPr>
                <w:rFonts w:hint="eastAsia" w:ascii="仿宋_GB2312" w:hAnsi="仿宋" w:eastAsia="仿宋_GB2312" w:cs="仿宋"/>
                <w:szCs w:val="21"/>
              </w:rPr>
              <w:t>-20000</w:t>
            </w:r>
            <w:r>
              <w:rPr>
                <w:rFonts w:hint="eastAsia" w:ascii="仿宋_GB2312" w:hAnsi="仿宋" w:eastAsia="仿宋" w:cs="仿宋"/>
                <w:szCs w:val="21"/>
              </w:rPr>
              <w:t>㎡</w:t>
            </w:r>
            <w:r>
              <w:rPr>
                <w:rFonts w:hint="eastAsia" w:ascii="仿宋_GB2312" w:hAnsi="仿宋" w:eastAsia="仿宋_GB2312" w:cs="仿宋"/>
                <w:szCs w:val="21"/>
              </w:rPr>
              <w:t>需乙级人防设计资质；20000</w:t>
            </w:r>
            <w:r>
              <w:rPr>
                <w:rFonts w:hint="eastAsia" w:ascii="仿宋_GB2312" w:hAnsi="仿宋" w:eastAsia="仿宋" w:cs="仿宋"/>
                <w:szCs w:val="21"/>
              </w:rPr>
              <w:t>㎡</w:t>
            </w:r>
            <w:r>
              <w:rPr>
                <w:rFonts w:hint="eastAsia" w:ascii="仿宋_GB2312" w:hAnsi="仿宋" w:eastAsia="仿宋_GB2312" w:cs="仿宋"/>
                <w:szCs w:val="21"/>
              </w:rPr>
              <w:t>以上需甲级人防设计资质</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543" w:type="dxa"/>
            <w:vMerge w:val="continue"/>
            <w:noWrap/>
            <w:vAlign w:val="center"/>
          </w:tcPr>
          <w:p>
            <w:pPr>
              <w:widowControl/>
              <w:spacing w:line="300" w:lineRule="exact"/>
              <w:jc w:val="center"/>
              <w:textAlignment w:val="center"/>
              <w:rPr>
                <w:rFonts w:hint="eastAsia" w:ascii="仿宋_GB2312" w:hAnsi="仿宋" w:eastAsia="仿宋_GB2312" w:cs="仿宋"/>
                <w:szCs w:val="21"/>
              </w:rPr>
            </w:pPr>
          </w:p>
        </w:tc>
        <w:tc>
          <w:tcPr>
            <w:tcW w:w="883" w:type="dxa"/>
            <w:vMerge w:val="continue"/>
            <w:noWrap/>
            <w:vAlign w:val="center"/>
          </w:tcPr>
          <w:p>
            <w:pPr>
              <w:spacing w:line="300" w:lineRule="exact"/>
              <w:jc w:val="center"/>
              <w:rPr>
                <w:rFonts w:hint="eastAsia" w:ascii="仿宋_GB2312" w:hAnsi="仿宋" w:eastAsia="仿宋_GB2312" w:cs="仿宋"/>
                <w:szCs w:val="21"/>
              </w:rPr>
            </w:pPr>
          </w:p>
        </w:tc>
        <w:tc>
          <w:tcPr>
            <w:tcW w:w="3134" w:type="dxa"/>
            <w:gridSpan w:val="2"/>
            <w:vMerge w:val="continue"/>
            <w:noWrap/>
            <w:vAlign w:val="center"/>
          </w:tcPr>
          <w:p>
            <w:pPr>
              <w:spacing w:line="300" w:lineRule="exact"/>
              <w:jc w:val="center"/>
              <w:rPr>
                <w:rFonts w:hint="eastAsia" w:ascii="仿宋_GB2312" w:hAnsi="仿宋" w:eastAsia="仿宋_GB2312" w:cs="仿宋"/>
                <w:szCs w:val="21"/>
              </w:rPr>
            </w:pPr>
          </w:p>
        </w:tc>
        <w:tc>
          <w:tcPr>
            <w:tcW w:w="738" w:type="dxa"/>
            <w:vMerge w:val="continue"/>
            <w:noWrap/>
            <w:vAlign w:val="center"/>
          </w:tcPr>
          <w:p>
            <w:pPr>
              <w:spacing w:line="300" w:lineRule="exact"/>
              <w:jc w:val="center"/>
              <w:rPr>
                <w:rFonts w:hint="eastAsia" w:ascii="仿宋_GB2312" w:hAnsi="仿宋" w:eastAsia="仿宋_GB2312" w:cs="仿宋"/>
                <w:szCs w:val="21"/>
              </w:rPr>
            </w:pP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人防施工图设计文件审查</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《中华人民共和国人民防空法》（主席令第18号）、《人民防空工程施工图设计文件审查管理办法》（国人防〔2009〕282号）</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具有甲级、乙级资格的审查机构</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hint="eastAsia" w:ascii="仿宋_GB2312" w:hAnsi="仿宋" w:eastAsia="仿宋_GB2312"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5" w:hRule="atLeast"/>
          <w:jc w:val="center"/>
        </w:trPr>
        <w:tc>
          <w:tcPr>
            <w:tcW w:w="543" w:type="dxa"/>
            <w:noWrap/>
            <w:vAlign w:val="center"/>
          </w:tcPr>
          <w:p>
            <w:pPr>
              <w:widowControl/>
              <w:spacing w:line="300" w:lineRule="exact"/>
              <w:jc w:val="center"/>
              <w:textAlignment w:val="center"/>
              <w:rPr>
                <w:rFonts w:hint="eastAsia" w:ascii="仿宋_GB2312" w:hAnsi="仿宋" w:eastAsia="仿宋_GB2312" w:cs="仿宋"/>
                <w:szCs w:val="21"/>
              </w:rPr>
            </w:pPr>
            <w:r>
              <w:rPr>
                <w:rFonts w:hint="eastAsia" w:ascii="仿宋_GB2312" w:hAnsi="仿宋" w:eastAsia="仿宋_GB2312" w:cs="仿宋"/>
                <w:szCs w:val="21"/>
              </w:rPr>
              <w:t>52</w:t>
            </w:r>
          </w:p>
        </w:tc>
        <w:tc>
          <w:tcPr>
            <w:tcW w:w="883"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kern w:val="0"/>
                <w:szCs w:val="21"/>
                <w:lang w:bidi="ar"/>
              </w:rPr>
              <w:t>巴中市住房和城乡建设局</w:t>
            </w:r>
          </w:p>
        </w:tc>
        <w:tc>
          <w:tcPr>
            <w:tcW w:w="3134" w:type="dxa"/>
            <w:gridSpan w:val="2"/>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应建防空地下室的民用建设项目报建审批</w:t>
            </w:r>
          </w:p>
        </w:tc>
        <w:tc>
          <w:tcPr>
            <w:tcW w:w="738"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行政许可</w:t>
            </w:r>
          </w:p>
        </w:tc>
        <w:tc>
          <w:tcPr>
            <w:tcW w:w="201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人防工程防护设备安装质量检测</w:t>
            </w:r>
          </w:p>
        </w:tc>
        <w:tc>
          <w:tcPr>
            <w:tcW w:w="184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《中华人民共和国人民防空法》（主席令第18号）、《关于规范人防工程防护设备检测机构资质认定工作的通知》（国人防〔2017〕271号）</w:t>
            </w:r>
          </w:p>
        </w:tc>
        <w:tc>
          <w:tcPr>
            <w:tcW w:w="1913" w:type="dxa"/>
            <w:noWrap/>
            <w:vAlign w:val="center"/>
          </w:tcPr>
          <w:p>
            <w:pPr>
              <w:spacing w:line="300" w:lineRule="exact"/>
              <w:ind w:left="-73" w:leftChars="-35" w:right="-53" w:rightChars="-25"/>
              <w:jc w:val="center"/>
              <w:rPr>
                <w:rFonts w:hint="eastAsia" w:ascii="仿宋_GB2312" w:hAnsi="仿宋" w:eastAsia="仿宋_GB2312" w:cs="仿宋"/>
                <w:szCs w:val="21"/>
              </w:rPr>
            </w:pPr>
            <w:r>
              <w:rPr>
                <w:rFonts w:hint="eastAsia" w:ascii="仿宋_GB2312" w:hAnsi="仿宋" w:eastAsia="仿宋_GB2312" w:cs="仿宋"/>
                <w:szCs w:val="21"/>
              </w:rPr>
              <w:t>人民防空防护设备产品质量检测机构</w:t>
            </w:r>
          </w:p>
        </w:tc>
        <w:tc>
          <w:tcPr>
            <w:tcW w:w="1399"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市场调节价</w:t>
            </w:r>
          </w:p>
        </w:tc>
        <w:tc>
          <w:tcPr>
            <w:tcW w:w="1561" w:type="dxa"/>
            <w:noWrap/>
            <w:vAlign w:val="center"/>
          </w:tcPr>
          <w:p>
            <w:pPr>
              <w:spacing w:line="300" w:lineRule="exact"/>
              <w:jc w:val="center"/>
              <w:rPr>
                <w:rFonts w:hint="eastAsia" w:ascii="仿宋_GB2312" w:hAnsi="仿宋" w:eastAsia="仿宋_GB2312" w:cs="仿宋"/>
                <w:szCs w:val="21"/>
              </w:rPr>
            </w:pPr>
            <w:r>
              <w:rPr>
                <w:rFonts w:hint="eastAsia" w:ascii="仿宋_GB2312" w:hAnsi="仿宋" w:eastAsia="仿宋_GB2312" w:cs="仿宋"/>
                <w:szCs w:val="21"/>
              </w:rPr>
              <w:t>双方协商约定</w:t>
            </w:r>
          </w:p>
        </w:tc>
        <w:tc>
          <w:tcPr>
            <w:tcW w:w="742" w:type="dxa"/>
            <w:noWrap/>
            <w:vAlign w:val="center"/>
          </w:tcPr>
          <w:p>
            <w:pPr>
              <w:spacing w:line="300" w:lineRule="exact"/>
              <w:jc w:val="center"/>
              <w:rPr>
                <w:rFonts w:hint="eastAsia" w:ascii="仿宋_GB2312" w:hAnsi="仿宋" w:eastAsia="仿宋_GB2312" w:cs="仿宋"/>
                <w:szCs w:val="21"/>
              </w:rPr>
            </w:pPr>
          </w:p>
        </w:tc>
      </w:tr>
    </w:tbl>
    <w:p>
      <w:pPr>
        <w:jc w:val="center"/>
        <w:rPr>
          <w:rFonts w:hint="eastAsia" w:ascii="方正小标宋简体" w:hAnsi="方正小标宋简体" w:eastAsia="方正小标宋简体" w:cs="方正小标宋简体"/>
          <w:b/>
          <w:spacing w:val="-6"/>
          <w:sz w:val="44"/>
          <w:szCs w:val="4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9831DE"/>
    <w:rsid w:val="28983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2020-01-07T08:37:00Z</dcterms:created>
  <dc:creator>微生</dc:creator>
  <cp:lastModifiedBy>微生</cp:lastModifiedBy>
  <dcterms:modified xsi:type="dcterms:W3CDTF">2020-01-07T08:37:47Z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