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jc w:val="both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 xml:space="preserve">附件               </w:t>
      </w:r>
    </w:p>
    <w:p>
      <w:pPr>
        <w:pStyle w:val="3"/>
        <w:spacing w:beforeAutospacing="0" w:afterAutospacing="0" w:line="5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“转企升规”年度工作任务分解表</w:t>
      </w:r>
    </w:p>
    <w:bookmarkEnd w:id="0"/>
    <w:p>
      <w:pPr>
        <w:pStyle w:val="3"/>
        <w:spacing w:beforeAutospacing="0" w:afterAutospacing="0" w:line="560" w:lineRule="exact"/>
        <w:ind w:firstLine="2730" w:firstLineChars="1300"/>
        <w:jc w:val="both"/>
        <w:rPr>
          <w:rFonts w:ascii="Times New Roman" w:hAnsi="Times New Roman" w:eastAsia="方正仿宋简体" w:cs="Times New Roman"/>
          <w:sz w:val="21"/>
          <w:szCs w:val="21"/>
        </w:rPr>
      </w:pPr>
      <w:r>
        <w:rPr>
          <w:rFonts w:ascii="Times New Roman" w:hAnsi="Times New Roman" w:eastAsia="方正仿宋简体" w:cs="Times New Roman"/>
          <w:sz w:val="21"/>
          <w:szCs w:val="21"/>
        </w:rPr>
        <w:t xml:space="preserve">                                                                                        单位：户</w:t>
      </w:r>
    </w:p>
    <w:tbl>
      <w:tblPr>
        <w:tblStyle w:val="4"/>
        <w:tblW w:w="13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204"/>
        <w:gridCol w:w="1263"/>
        <w:gridCol w:w="1075"/>
        <w:gridCol w:w="1327"/>
        <w:gridCol w:w="1235"/>
        <w:gridCol w:w="1280"/>
        <w:gridCol w:w="86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类别</w:t>
            </w:r>
          </w:p>
        </w:tc>
        <w:tc>
          <w:tcPr>
            <w:tcW w:w="2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行业类型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年度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082" w:firstLineChars="170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合计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2023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2025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个转企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全行业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200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250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小升规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工业企业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服务业（不包含文旅）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文旅服务业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限额以上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批发零售住宿餐饮业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160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资质以上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建筑业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省级以上重点龙头企业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农业产业化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达到39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达到42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市农业农村局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2027"/>
    <w:rsid w:val="19882027"/>
    <w:rsid w:val="7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260</Characters>
  <Lines>0</Lines>
  <Paragraphs>0</Paragraphs>
  <TotalTime>0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2022-04-15T07:51:00Z</dcterms:created>
  <dc:creator>3.3'</dc:creator>
  <cp:lastModifiedBy>刘书豪</cp:lastModifiedBy>
  <dcterms:modified xsi:type="dcterms:W3CDTF">2022-05-23T03:15:17Z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D7D8573ACC2A4E7492076D9CD85F9B54</vt:lpwstr>
  </property>
</Properties>
</file>