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方正小标宋简体" w:hAnsi="Times New Roman" w:eastAsia="方正小标宋简体"/>
          <w:b/>
          <w:kern w:val="0"/>
          <w:sz w:val="44"/>
          <w:szCs w:val="44"/>
        </w:rPr>
      </w:pPr>
      <w:r>
        <w:rPr>
          <w:rFonts w:hint="eastAsia" w:ascii="方正小标宋简体" w:hAnsi="Times New Roman" w:eastAsia="方正小标宋简体"/>
          <w:b/>
          <w:kern w:val="0"/>
          <w:sz w:val="44"/>
          <w:szCs w:val="44"/>
        </w:rPr>
        <w:t>巴中市“一老一小”重大项目清单（养老）</w:t>
      </w:r>
    </w:p>
    <w:p>
      <w:pPr>
        <w:pStyle w:val="4"/>
        <w:rPr>
          <w:rFonts w:hint="eastAsia"/>
        </w:rPr>
      </w:pPr>
    </w:p>
    <w:tbl>
      <w:tblPr>
        <w:tblStyle w:val="5"/>
        <w:tblW w:w="14806" w:type="dxa"/>
        <w:tblInd w:w="0" w:type="dxa"/>
        <w:tblLayout w:type="fixed"/>
        <w:tblCellMar>
          <w:top w:w="0" w:type="dxa"/>
          <w:left w:w="0" w:type="dxa"/>
          <w:bottom w:w="0" w:type="dxa"/>
          <w:right w:w="0" w:type="dxa"/>
        </w:tblCellMar>
      </w:tblPr>
      <w:tblGrid>
        <w:gridCol w:w="709"/>
        <w:gridCol w:w="1636"/>
        <w:gridCol w:w="847"/>
        <w:gridCol w:w="1430"/>
        <w:gridCol w:w="770"/>
        <w:gridCol w:w="5354"/>
        <w:gridCol w:w="907"/>
        <w:gridCol w:w="959"/>
        <w:gridCol w:w="1226"/>
        <w:gridCol w:w="968"/>
      </w:tblGrid>
      <w:tr>
        <w:tblPrEx>
          <w:tblCellMar>
            <w:top w:w="0" w:type="dxa"/>
            <w:left w:w="0" w:type="dxa"/>
            <w:bottom w:w="0" w:type="dxa"/>
            <w:right w:w="0" w:type="dxa"/>
          </w:tblCellMar>
        </w:tblPrEx>
        <w:trPr>
          <w:trHeight w:val="942" w:hRule="atLeast"/>
          <w:tblHeader/>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序号</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项目名称</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kern w:val="0"/>
                <w:sz w:val="24"/>
              </w:rPr>
            </w:pPr>
            <w:r>
              <w:rPr>
                <w:rFonts w:ascii="Times New Roman" w:hAnsi="Times New Roman" w:eastAsia="方正黑体_GBK"/>
                <w:kern w:val="0"/>
                <w:sz w:val="24"/>
              </w:rPr>
              <w:t>项目</w:t>
            </w:r>
          </w:p>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类型</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建设期限</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kern w:val="0"/>
                <w:sz w:val="24"/>
              </w:rPr>
            </w:pPr>
            <w:r>
              <w:rPr>
                <w:rFonts w:ascii="Times New Roman" w:hAnsi="Times New Roman" w:eastAsia="方正黑体_GBK"/>
                <w:kern w:val="0"/>
                <w:sz w:val="24"/>
              </w:rPr>
              <w:t>建设</w:t>
            </w:r>
          </w:p>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地点</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建设内容和规模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总投资</w:t>
            </w:r>
            <w:r>
              <w:rPr>
                <w:rFonts w:ascii="Times New Roman" w:hAnsi="Times New Roman" w:eastAsia="方正黑体_GBK"/>
                <w:kern w:val="0"/>
                <w:sz w:val="24"/>
              </w:rPr>
              <w:br w:type="textWrapping"/>
            </w:r>
            <w:r>
              <w:rPr>
                <w:rFonts w:ascii="Times New Roman" w:hAnsi="Times New Roman" w:eastAsia="方正黑体_GBK"/>
                <w:kern w:val="0"/>
                <w:sz w:val="24"/>
              </w:rPr>
              <w:t>（万元）</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申请中央预算内投资</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组织实施单位</w:t>
            </w:r>
          </w:p>
        </w:tc>
        <w:tc>
          <w:tcPr>
            <w:tcW w:w="9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textAlignment w:val="center"/>
              <w:rPr>
                <w:rFonts w:ascii="Times New Roman" w:hAnsi="Times New Roman" w:eastAsia="方正黑体_GBK"/>
                <w:sz w:val="24"/>
              </w:rPr>
            </w:pPr>
            <w:r>
              <w:rPr>
                <w:rFonts w:ascii="Times New Roman" w:hAnsi="Times New Roman" w:eastAsia="方正黑体_GBK"/>
                <w:kern w:val="0"/>
                <w:sz w:val="24"/>
              </w:rPr>
              <w:t>备注</w:t>
            </w:r>
          </w:p>
        </w:tc>
      </w:tr>
      <w:tr>
        <w:tblPrEx>
          <w:tblCellMar>
            <w:top w:w="0" w:type="dxa"/>
            <w:left w:w="0" w:type="dxa"/>
            <w:bottom w:w="0" w:type="dxa"/>
            <w:right w:w="0" w:type="dxa"/>
          </w:tblCellMar>
        </w:tblPrEx>
        <w:trPr>
          <w:trHeight w:val="163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sz w:val="24"/>
              </w:rPr>
              <w:t>巴中市失能半失能老年养护中心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巴中经</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开区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sz w:val="24"/>
              </w:rPr>
            </w:pPr>
            <w:r>
              <w:rPr>
                <w:rFonts w:ascii="Times New Roman" w:hAnsi="Times New Roman" w:eastAsia="方正楷体_GBK"/>
                <w:kern w:val="0"/>
                <w:sz w:val="24"/>
              </w:rPr>
              <w:t>总建筑面积15000平方米，设置失能半失能老年医养床位300张，建设内容包括设备购置、装修、给排水、电气、消防、道路、绿化、护坡治理、挡土墙等附属工程。</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6700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市民政局</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Times New Roman" w:hAnsi="Times New Roman" w:eastAsia="方正楷体_GBK"/>
                <w:sz w:val="24"/>
              </w:rPr>
            </w:pPr>
          </w:p>
        </w:tc>
      </w:tr>
      <w:tr>
        <w:tblPrEx>
          <w:tblCellMar>
            <w:top w:w="0" w:type="dxa"/>
            <w:left w:w="0" w:type="dxa"/>
            <w:bottom w:w="0" w:type="dxa"/>
            <w:right w:w="0" w:type="dxa"/>
          </w:tblCellMar>
        </w:tblPrEx>
        <w:trPr>
          <w:trHeight w:val="123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巴中市社会福利院消防安全改造提升项目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sz w:val="24"/>
              </w:rPr>
            </w:pPr>
            <w:r>
              <w:rPr>
                <w:rFonts w:ascii="Times New Roman" w:hAnsi="Times New Roman" w:eastAsia="方正楷体_GBK"/>
                <w:kern w:val="0"/>
                <w:sz w:val="24"/>
              </w:rPr>
              <w:t>建筑面积6400平方米，新建自动喷水灭火系统；消防管道改造；消防报警系统；消防设施设备。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256</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204</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市民政局</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Times New Roman" w:hAnsi="Times New Roman" w:eastAsia="方正楷体_GBK"/>
                <w:sz w:val="24"/>
              </w:rPr>
            </w:pPr>
          </w:p>
        </w:tc>
      </w:tr>
      <w:tr>
        <w:tblPrEx>
          <w:tblCellMar>
            <w:top w:w="0" w:type="dxa"/>
            <w:left w:w="0" w:type="dxa"/>
            <w:bottom w:w="0" w:type="dxa"/>
            <w:right w:w="0" w:type="dxa"/>
          </w:tblCellMar>
        </w:tblPrEx>
        <w:trPr>
          <w:trHeight w:val="114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巴中市社会福利院养老应急救援中心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sz w:val="24"/>
              </w:rPr>
            </w:pPr>
            <w:r>
              <w:rPr>
                <w:rFonts w:ascii="Times New Roman" w:hAnsi="Times New Roman" w:eastAsia="方正楷体_GBK"/>
                <w:kern w:val="0"/>
                <w:sz w:val="24"/>
              </w:rPr>
              <w:t>成立市级养老应急救援中心，成立专业化应急救援队伍，配置应急救援设备包。</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100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100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市民政局</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rPr>
                <w:rFonts w:ascii="Times New Roman" w:hAnsi="Times New Roman" w:eastAsia="方正楷体_GBK"/>
                <w:sz w:val="24"/>
              </w:rPr>
            </w:pPr>
          </w:p>
        </w:tc>
      </w:tr>
      <w:tr>
        <w:tblPrEx>
          <w:tblCellMar>
            <w:top w:w="0" w:type="dxa"/>
            <w:left w:w="0" w:type="dxa"/>
            <w:bottom w:w="0" w:type="dxa"/>
            <w:right w:w="0" w:type="dxa"/>
          </w:tblCellMar>
        </w:tblPrEx>
        <w:trPr>
          <w:trHeight w:val="20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巴中市奇章养老服务中心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巴中经</w:t>
            </w:r>
          </w:p>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开区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sz w:val="24"/>
              </w:rPr>
            </w:pPr>
            <w:r>
              <w:rPr>
                <w:rFonts w:ascii="Times New Roman" w:hAnsi="Times New Roman" w:eastAsia="方正楷体_GBK"/>
                <w:kern w:val="0"/>
                <w:sz w:val="24"/>
              </w:rPr>
              <w:t>新建床位300张、建筑面积14000平方米，分两期建设，包含老年服务中心、康复中心、老年公寓、休闲活动中心、康养步道及自行车道、绿色景观等基础附属设施设备建设，建成后实现辖区特困人员全覆盖，失能、半失能老人全覆盖。</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rPr>
                <w:rFonts w:ascii="Times New Roman" w:hAnsi="Times New Roman" w:eastAsia="方正楷体_GBK"/>
                <w:sz w:val="24"/>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sz w:val="24"/>
              </w:rPr>
            </w:pPr>
            <w:r>
              <w:rPr>
                <w:rFonts w:ascii="Times New Roman" w:hAnsi="Times New Roman" w:eastAsia="方正楷体_GBK"/>
                <w:kern w:val="0"/>
                <w:sz w:val="24"/>
              </w:rPr>
              <w:t>巴中经开区管委会</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left"/>
              <w:textAlignment w:val="center"/>
              <w:rPr>
                <w:rFonts w:ascii="Times New Roman" w:hAnsi="Times New Roman" w:eastAsia="方正楷体_GBK"/>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57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巴中市兴文居家养老服务网络建设项目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巴中经</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开区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将西锦社区、双井社区、东锦社区、牛角社区养老服务机构组网建设一个运营居家养老服务网络建设项目，建设160张护理型床位，总建筑面积达6400平方米。</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1920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巴中经开区管委会</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43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巴州区社区养老服务综合体建设项目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立足东城、江北、玉堂、曾口、清江、梁永（街道、镇）社区养老服务机构，组建居家社区养老服务网络，床位200张，建筑面积6000平方米。</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1920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3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巴州区鼎山</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百寿康养护</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2022-2023</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新建建筑面积12750平方米养老中心、老年公寓、医疗康复中心、文化娱乐休闲中心及设施设备等，建设养老床位300张。</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2880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42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巴州区化成</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拟建床位300张，建筑面积14200平方米，老年公寓、医疗康复中心、办公楼、娱乐休闲中心、生活广场、园内道路建设及附属设施设备购置。</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84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巴州区失能</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半失能老人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照护中心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护理型床位300张，建设面积13340平方米，设置失能老人照护区、文化娱乐区、康复训练区、精神慰藉区、慢病管理区，配套中央厨房、管理用房、员工宿舍、老人临终关怀室，购置相关设施设备。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5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巴州区水宁寺养老服务中心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占地面积30亩，拟建床位300张、老年公寓、办公楼、医疗康复中心、娱乐休闲中心、生活广场、绿色景观及设施设备购置。</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24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巴州区曾口</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2025-2026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占地面积30亩，拟建床位300张、养老服务中心、老年公寓、医疗康复中心、娱乐休闲中心及设施设备购置。</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0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巴州区村级</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养老服务站点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建设100个农村养老服务站点，主要设置日间照料区、互助养老、助浴助餐等功能配套，提供家门口的养老服务。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480"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巴州区乡镇</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敬老院适老化</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改造项目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州</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拟对全区乡镇敬老院进行适老化改造床位100张，提升护理能力。</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巴州区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9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恩阳区失能半失能特困人员供养服务设施建设项目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规划占地25亩，总建筑面积15000平方米，设置床位300张，建老年人生活用房、宿舍、卫生保健室、文化娱乐室、康复训练室等。</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62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恩阳区白玉</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社区居家养老服务网络</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面积9亩，建设护理型床位120张，总建筑面积4200平方米，内设餐厅、医疗康养室、老年用品超市、老年休闲娱乐场所，同古溪社区养老服务中心、老场社区养老服务中心、登科寺社区养老服务中心组网建设运营，建居家养老服务信息平台、呼叫服务系统、应急救援服务网络，区、镇、村（居）三级线下服务为全区所有老年人提供助餐、助浴、助洁、助医、助急等服务。</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1440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1152</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43"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恩阳区渔溪</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规划占地25亩，总建筑面积15000平方米，设置床位300张，建老年人生活用房、宿舍、卫生保健室、文化娱乐室、康复训练室等。</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67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恩阳区玉山敬老院消防安全改造提升项目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对玉山敬老院进行消防安全改造提升，改造面积总共4000余平方米。改造内容为：机构院内电器线路的整体改造，配置烟感、喷淋报警、水池、泵房、控制室等消防设施设备。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160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128</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68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恩阳区下八庙敬老院消防安全改造提升</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对下八庙敬老院进行消防安全改造提升，改造面积总共3000余平方米。改造内容为：机构院内电器线路的整体改造，配置烟感、喷淋报警、水池、泵房、控制室等消防设施设备。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120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96</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530"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恩阳区雪山敬老院消防安全改造提升项目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对雪山敬老院进行消防安全改造提升，改造面积总共5000余平方米。改造内容为：机构院内电器线路的整体改造，配置烟感、喷淋报警、水池、泵房、控制室等消防设施设备。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160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70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恩阳区养老机构服务能力提升项目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对雪山、明阳、玉山等敬老院进行服务能力提升改造；改造床位500张，改造内容为：老年人生活用房、宿舍及生活、休闲娱乐环境的提档升级，新增老年评估室、康复训练室等。</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3750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0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恩阳区柳林养老服务中心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规划占地25亩，总建筑面积15000平方米，设置床位300张，建老年人生活用房、宿舍、卫生保健室、文化娱乐室、康复训练室等。</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24"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恩阳区茶坝养老服务中心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规划占地25亩，总建筑面积15000平方米，设置床位300张，建老年人生活用房、宿舍、卫生保健室、文化娱乐室、康复训练室等。</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9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恩阳区颐养</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中心养老机构建设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规划占地30亩，建筑面积18000平方米，建老年大学；养老中心，设置床位300张，包括老年入住服务用房、生活用房、卫生保健用房、文化娱乐用房、康复用房、社会工作用房、附属用房等配套设施及购置相关设施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426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恩阳区农村</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老服务组网</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在明阳镇新石社区、旱谷社区、高店子社区，柳林镇玉金社区、金龙社区、钟家坝社区，渔溪镇万寿宫社区、太极社区，下八庙镇观音井社区、凤凰包社区，10个农村社区打造为便民服务型，建筑面积共5000平方米，设置床位共150张（每个社区居家养老服务中心建筑面积500平方米，并设有5张全托照护床位），含老年餐桌、医疗康复室、社区学习点、老年休闲娱乐场所（阅览室、棋牌室、健身器械等）、社区志愿者工作站等功能空间和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1800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1440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336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恩阳区城市</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老服务组网</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18亩，建设护理型床位160张。建筑面积6000平方米，内设餐厅、医疗康养室、老年用品超市、老年休闲娱乐场所（图书阅览室、棋牌室、健身房等），项目设置麻石社区养老服务综合中心、飞凤社区养老服务综合中心、马鞍社区养老服务综合中心、何家坝社区养老服务综合中心4个中心组网。</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1920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1536</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436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恩阳区社区养老服务综合体建设项目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在登科街道麻石社区、白玉社区、古溪社区，文治街道文治社区、飞凤社区、马鞍社区、司城街道齐家梁社区，明阳镇何家坝社区、高店子社区，柳林镇钟家坝社区10个农村社区建筑面积共10000平方米，设置床位共300张，含老年餐厅、医疗康复室、老年用品体验展示租赁维护中心、老年人能力综合评估中心、居家智慧养老指挥调度中心、社区老年大学、老年休闲娱乐场所（阅览室、棋牌室、健身房等）、“家庭照护床位”服务站、社区志愿者工作站、老年接送车、送餐车等功能空间和设备。</w:t>
            </w:r>
          </w:p>
        </w:tc>
        <w:tc>
          <w:tcPr>
            <w:tcW w:w="9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312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恩阳区玉山</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社区居家养老</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服务网络</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9亩，建设床位120张，建筑面积4800平方米，内设餐厅、医疗康养室、老年用品超市、老年休闲娱乐场所等，同片区高水头社区居家养老中心、瑞昌社区居家养老中心、关公镇喜鹊社区居家养老中心组网建设运营。</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1440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1152</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70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恩阳区玉山</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社区居家养老服务网络</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区</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9亩，建设床位120张，建筑面积4800平方米，内设餐厅、医疗康养室、老年用品超市、老年休闲娱乐场所等，同片区高水头社区居家养老中心、瑞昌社区居家养老中心、关公镇喜鹊社区居家养老中心组网建设运营。</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1440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1152</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恩阳区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09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南江县长赤区域性养老服务中心建设项目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新建养老服务中心12900平方米，设置床位300张，购置相关设施设备，配套完善绿化、亮化、垃圾污水处理等附属工程。</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8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南江县集州街道、长赤镇、沙河镇社区养老服务综合体建设项目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新建社区养老服务综合体3个，建筑面积3000平方米，建设床位90张。</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1080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864</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153"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南江县光雾山镇、赶场镇、贵民镇社区养老服务综合体建设项目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新建社区养老服务综合体3个，建筑面积3000平方米，建设床位90张。</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1080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864</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51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南江县村级</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养老服务站点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建设93个农村养老服务站点，设置日间照料区、互助养老、助浴助餐等功能。</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930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南江县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51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hint="eastAsia" w:ascii="Times New Roman" w:hAnsi="Times New Roman" w:eastAsia="方正楷体_GBK"/>
                <w:kern w:val="0"/>
                <w:sz w:val="24"/>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Times New Roman" w:hAnsi="Times New Roman" w:eastAsia="方正楷体_GBK"/>
                <w:kern w:val="0"/>
                <w:sz w:val="24"/>
              </w:rPr>
            </w:pPr>
            <w:r>
              <w:rPr>
                <w:rFonts w:hint="eastAsia" w:ascii="Times New Roman" w:hAnsi="Times New Roman" w:eastAsia="方正楷体_GBK"/>
                <w:kern w:val="0"/>
                <w:sz w:val="24"/>
              </w:rPr>
              <w:t>通江县老年</w:t>
            </w:r>
          </w:p>
          <w:p>
            <w:pPr>
              <w:spacing w:line="360" w:lineRule="exact"/>
              <w:jc w:val="center"/>
              <w:textAlignment w:val="center"/>
              <w:rPr>
                <w:rFonts w:ascii="Times New Roman" w:hAnsi="Times New Roman" w:eastAsia="方正楷体_GBK"/>
                <w:kern w:val="0"/>
                <w:sz w:val="24"/>
              </w:rPr>
            </w:pPr>
            <w:r>
              <w:rPr>
                <w:rFonts w:hint="eastAsia" w:ascii="Times New Roman" w:hAnsi="Times New Roman" w:eastAsia="方正楷体_GBK"/>
                <w:kern w:val="0"/>
                <w:sz w:val="24"/>
              </w:rPr>
              <w:t>养护中心建设项目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项目占地18亩，建筑面积12750平方米，设置床位300张，配套健身中心及户外活动场地、绿化、消防、给排水系统等附属设施。</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28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通江县特困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人员供养服务中心建设项目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项目占地15亩，建筑面积14000平方米，设置床位300张，配套健身中心及户外活动场地、绿化、消防、给排水系统等附属设施。</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70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通江县社区居家养老服务网络建设项目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18亩，建设床位110张（其中护理型床位90张），建筑面积4400平方米，内设餐厅、医疗康养室、老年用品超市、老年休闲娱乐场所（图书阅览室、棋牌室、健身房等），项目设置西城社区养老服务综合中心、谢家河坝养老服务综合中心、石牛嘴社区养老服务综合中心3个中心组网。</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1320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1056</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79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通江县铁佛</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社区居家养老服务网络</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9亩，建设床位105张（其中护理型床位90张），建筑面积4200平方米，内设餐厅、医疗康养室、老年用品超市、老年休闲娱乐场所（图书阅览室、棋牌室、健身房等），同铁佛镇通达南街社区居家养老服务中心、铁佛镇通达北街社区居家养老服务中心、麻石镇禹王宫社区居家养老服务中心组网建设运营。</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1260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1008</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24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通江县永安区域性养老服务中心建设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项目占地15亩，建筑面积10000平方米，设置床位200张，配建健身中心、活动中心以及户外活动场地、绿化、消防、给排水系统等其他附属设施，覆盖永安镇、烟溪镇、泥溪镇。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423"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通江县沙溪区域性养老服务中心建设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项目占地15亩，建筑面积10000平方米，设置床位200张，配建健身中心、活动中心以及户外活动场地、绿化、消防、给排水系统等其他附属设施，覆盖沙溪镇、胜利乡、松溪乡。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37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通江县诺水河区域性养老服务中心建设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项目占地15亩，建筑面积10000平方米，设置床位200张，配建健身中心、活动中心以及户外活动场地、绿化、消防、给排水系统等其他附属设施，覆盖诺水河镇、板桥口镇、青峪镇。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660"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通江县麻石区域性养老服务中心建设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项目占地15亩，建筑面积10000平方米，设置床位200张，配建健身中心、活动中心以及户外活动场地、绿化、消防、给排水系统等其他附属设施，覆盖麻石镇、春在镇、毛浴镇。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85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通江县铁佛</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敬老院消防</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设施改造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2022-2023</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占地面积10亩，建筑面积6800平方米，购买灭火器具，建设消防给水系统，安装消火栓、火灾探测器、自动灭火系统、报警器、消防电梯等。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272</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217</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879"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通江县新场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敬老院消防</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设施改造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2022-2023</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占地面积10亩，建筑面积6200平方米，对消防设施进行升级改造，购买灭火器具，建设消防给水系统，安装消火栓、火灾探测器、自动灭火系统、报警器、消防电梯等。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248</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198</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91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通江县至诚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敬老院消防</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设施改造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2023-2024</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占地面积10亩，建筑面积6500平方米，对消防设施进行升级改造，购买灭火器具，建设消防给水系统，安装消火栓、火灾探测器、自动灭火系统、报警器、消防电梯等。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260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208</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068"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通江县铁溪</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敬老院消防</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设施改造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占地面积10亩，建筑面积6800平方米，对消防设施进行升级改造，购买灭火器具，建设消防给水系统，安装消火栓、火灾探测器、自动灭火系统、报警器、消防电梯等。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272</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217</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85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通江县新华</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康复院改扩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2025-2026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占地面积10亩，建筑面积8000平方米，对消防设施进行升级改造，购买灭火器具，建设消防给水系统，安装消火栓、火灾探测器、自动灭火系统、报警器、消防电梯等。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320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256</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9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通江县适老化改造建设项目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在全县选择具备实施条件的5个公办养老机构，以原有的承接养老能力及床位为依托，每个机构按100张床位进行护理能力提升改造，共改造500张床位，提升公办养老机构护理能力及服务质量。</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1250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200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通江县村级养老服务站建设</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2025-2026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江</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项目涉及96个行政村，每个养老站面积200平方米，设置人员2-3名，配建老年活动中心以及户外活动场地，建成后形成助急、助医、助餐、助浴、助洁、护理等上门服务能力和信息服务能力。</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480</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通江县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780"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平昌县特困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失能老年人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占地10亩，新建覆盖同州、金宝、江口街道特困失能养护中心13350平方米，设置床位300张，配套完善相关附属设施设备。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34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平昌县望京</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敬老院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占地15亩，建筑面积9300平方米，设置床位200张，配套完善相关附属设施设备，覆盖望京镇、泥龙镇等。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463"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平昌县兰草养老服务中心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占地10亩，建筑面积13350平方米，设置床位300张，配套完善相关附属设施设备，覆盖粉壁镇、澌岸镇等。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41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平昌县土垭养老服务中心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占地10亩，建筑面积13350平方米，设置床位300张，配套完善相关附属设施设备，覆盖土垭镇、佛楼镇等。</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67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平昌县白衣</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养老服务中心消防能力提升改造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2025-2026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改造建筑面积7500平方米，开展养老机构消防设施提升达标改造，配备消防器材，改造安全疏散设施，设置微型消防站、消防安全标志等内容。</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72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平昌县驷马</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养老服务中心消防能力提升改造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改造建筑面积7500平方米，开展养老机构消防设施提升达标改造，配备消防器材，改造安全疏散设施，设置微型消防站、消防安全标志等内容。</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240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06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平昌县镇龙山康养中心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095"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平昌县宝鑫</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失能失智养护</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121"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平昌县新区</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失能失智养护中心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13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平昌县忠德</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失能失智养护中心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086"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平昌县心悦</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失能失智养护中心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建筑面积13350平方米，设置床位300张，配套完善相关附属设施设备。</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4500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9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平昌县老城区社区养老服务中心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2022-2026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新建同州街道、金宝街道、江口街道等主城区3个社区养老服务中心，建设面积13350平方米，建设床位300张，其中护理型床位180张。涵盖集中照护、短期托养、日间照料、医疗康复、老年教育、居家上门等多层次养老服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3600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2880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90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平昌县响滩镇社区综合为老服务中心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2024-2025</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组网新建响滩、白衣、涵水等3个社区综合为老服务中心，建设面积4500平方米，设置床位150张，涵盖集中照护、短期托养、日间照料、医疗康复、老年教育、居家上门等多层次养老服务。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1800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1440</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2052"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平昌县驷马镇社区综合为老服务中心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新</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2025-2026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组网新建驷马、粉壁、澌岸等3个社区综合为老服务中心，建设面积4500平方米，其中护理型床位90张。涵盖集中照护、短期托养、日间照料、医疗康复、老年教育、居家上门等多层次养老服务。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1080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864</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r>
      <w:tr>
        <w:tblPrEx>
          <w:tblCellMar>
            <w:top w:w="0" w:type="dxa"/>
            <w:left w:w="0" w:type="dxa"/>
            <w:bottom w:w="0" w:type="dxa"/>
            <w:right w:w="0" w:type="dxa"/>
          </w:tblCellMar>
        </w:tblPrEx>
        <w:trPr>
          <w:trHeight w:val="1798"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平昌县南风、坦溪养老服务中心适老化改造项目</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2024-2026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建筑面积共17000平方米，设置床位400张，入住率70%，拟改造护理型床位360张，开展适老化维修和护理型床位提升改造。</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720</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r>
        <w:tblPrEx>
          <w:tblCellMar>
            <w:top w:w="0" w:type="dxa"/>
            <w:left w:w="0" w:type="dxa"/>
            <w:bottom w:w="0" w:type="dxa"/>
            <w:right w:w="0" w:type="dxa"/>
          </w:tblCellMar>
        </w:tblPrEx>
        <w:trPr>
          <w:trHeight w:val="1697" w:hRule="atLeast"/>
        </w:trPr>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平昌县村级养老服务互助站</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改</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扩</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建</w:t>
            </w:r>
          </w:p>
        </w:tc>
        <w:tc>
          <w:tcPr>
            <w:tcW w:w="1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2023-2026</w:t>
            </w:r>
          </w:p>
        </w:tc>
        <w:tc>
          <w:tcPr>
            <w:tcW w:w="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昌</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县</w:t>
            </w:r>
          </w:p>
        </w:tc>
        <w:tc>
          <w:tcPr>
            <w:tcW w:w="5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left"/>
              <w:textAlignment w:val="center"/>
              <w:rPr>
                <w:rFonts w:ascii="Times New Roman" w:hAnsi="Times New Roman" w:eastAsia="方正楷体_GBK"/>
                <w:kern w:val="0"/>
                <w:sz w:val="24"/>
              </w:rPr>
            </w:pPr>
            <w:r>
              <w:rPr>
                <w:rFonts w:ascii="Times New Roman" w:hAnsi="Times New Roman" w:eastAsia="方正楷体_GBK"/>
                <w:kern w:val="0"/>
                <w:sz w:val="24"/>
              </w:rPr>
              <w:t>“布局新建一村一养老服务站”87个，合理设置日间照料区、休闲娱乐区、康复活动区等功能配套，提供家门口基本养老服务。</w:t>
            </w:r>
          </w:p>
        </w:tc>
        <w:tc>
          <w:tcPr>
            <w:tcW w:w="9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435</w:t>
            </w:r>
          </w:p>
        </w:tc>
        <w:tc>
          <w:tcPr>
            <w:tcW w:w="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平昌县</w:t>
            </w:r>
          </w:p>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人民政府</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exact"/>
              <w:jc w:val="center"/>
              <w:textAlignment w:val="center"/>
              <w:rPr>
                <w:rFonts w:ascii="Times New Roman" w:hAnsi="Times New Roman" w:eastAsia="方正楷体_GBK"/>
                <w:kern w:val="0"/>
                <w:sz w:val="24"/>
              </w:rPr>
            </w:pPr>
            <w:r>
              <w:rPr>
                <w:rFonts w:ascii="Times New Roman" w:hAnsi="Times New Roman" w:eastAsia="方正楷体_GBK"/>
                <w:kern w:val="0"/>
                <w:sz w:val="24"/>
              </w:rPr>
              <w:t>地方政府投资</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6CF52A52"/>
    <w:rsid w:val="6CF5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6"/>
    <w:basedOn w:val="1"/>
    <w:next w:val="1"/>
    <w:uiPriority w:val="0"/>
    <w:pPr>
      <w:ind w:left="2100"/>
    </w:pPr>
  </w:style>
  <w:style w:type="paragraph" w:styleId="3">
    <w:name w:val="Plain Text"/>
    <w:next w:val="4"/>
    <w:uiPriority w:val="0"/>
    <w:pPr>
      <w:widowControl w:val="0"/>
      <w:jc w:val="both"/>
    </w:pPr>
    <w:rPr>
      <w:rFonts w:ascii="宋体" w:hAnsi="宋体" w:eastAsia="华文仿宋" w:cs="Times New Roman"/>
      <w:kern w:val="2"/>
      <w:sz w:val="32"/>
      <w:szCs w:val="32"/>
      <w:lang w:val="en-US" w:eastAsia="zh-CN" w:bidi="ar-SA"/>
    </w:rPr>
  </w:style>
  <w:style w:type="paragraph" w:styleId="4">
    <w:name w:val="footer"/>
    <w:next w:val="1"/>
    <w:uiPriority w:val="0"/>
    <w:pPr>
      <w:widowControl w:val="0"/>
      <w:tabs>
        <w:tab w:val="center" w:pos="4153"/>
        <w:tab w:val="right" w:pos="8306"/>
      </w:tabs>
      <w:snapToGrid w:val="0"/>
    </w:pPr>
    <w:rPr>
      <w:rFonts w:ascii="Calibri" w:hAnsi="Calibri" w:eastAsia="华文仿宋" w:cs="Times New Roman"/>
      <w:kern w:val="2"/>
      <w:sz w:val="18"/>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2022-07-21T10:01:00Z</dcterms:created>
  <dc:creator>DELL</dc:creator>
  <cp:lastModifiedBy>DELL</cp:lastModifiedBy>
  <dcterms:modified xsi:type="dcterms:W3CDTF">2022-07-21T10:02:32Z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C29AAC33895F4243AD7D4098147EF4D9</vt:lpwstr>
  </property>
</Properties>
</file>