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lang w:eastAsia="zh-CN"/>
        </w:rPr>
        <w:t>2022</w:t>
      </w:r>
      <w:r>
        <w:rPr>
          <w:rFonts w:hint="eastAsia" w:ascii="方正小标宋简体" w:eastAsia="方正小标宋简体" w:cs="方正小标宋简体"/>
          <w:sz w:val="44"/>
          <w:szCs w:val="44"/>
        </w:rPr>
        <w:t>年度</w:t>
      </w:r>
      <w:r>
        <w:rPr>
          <w:rFonts w:hint="eastAsia" w:ascii="方正小标宋简体" w:eastAsia="方正小标宋简体" w:cs="方正小标宋简体"/>
          <w:sz w:val="44"/>
          <w:szCs w:val="44"/>
          <w:lang w:eastAsia="zh-CN"/>
        </w:rPr>
        <w:t>市定目标考评</w:t>
      </w:r>
      <w:r>
        <w:rPr>
          <w:rFonts w:hint="eastAsia" w:ascii="方正小标宋简体" w:eastAsia="方正小标宋简体" w:cs="方正小标宋简体"/>
          <w:sz w:val="44"/>
          <w:szCs w:val="44"/>
        </w:rPr>
        <w:t>情况汇总表</w:t>
      </w: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hint="eastAsia" w:ascii="方正黑体简体" w:eastAsia="方正黑体简体" w:cs="方正黑体简体"/>
          <w:b w:val="0"/>
          <w:bCs w:val="0"/>
          <w:color w:val="auto"/>
          <w:spacing w:val="6"/>
          <w:lang w:eastAsia="zh-CN"/>
        </w:rPr>
      </w:pPr>
    </w:p>
    <w:p>
      <w:pPr>
        <w:keepNext w:val="0"/>
        <w:keepLines w:val="0"/>
        <w:pageBreakBefore w:val="0"/>
        <w:widowControl w:val="0"/>
        <w:kinsoku/>
        <w:wordWrap/>
        <w:overflowPunct/>
        <w:topLinePunct w:val="0"/>
        <w:autoSpaceDE/>
        <w:autoSpaceDN/>
        <w:bidi w:val="0"/>
        <w:adjustRightInd/>
        <w:snapToGrid/>
        <w:spacing w:line="576" w:lineRule="exact"/>
        <w:ind w:right="0"/>
        <w:textAlignment w:val="auto"/>
        <w:rPr>
          <w:rFonts w:ascii="方正黑体简体" w:eastAsia="方正黑体简体" w:cs="方正黑体简体"/>
          <w:b w:val="0"/>
          <w:bCs w:val="0"/>
          <w:color w:val="auto"/>
          <w:spacing w:val="6"/>
          <w:lang w:val="en-US" w:eastAsia="zh-CN"/>
        </w:rPr>
      </w:pPr>
      <w:bookmarkStart w:id="0" w:name="_GoBack"/>
      <w:bookmarkEnd w:id="0"/>
      <w:r>
        <w:rPr>
          <w:rFonts w:hint="eastAsia" w:ascii="方正黑体简体" w:eastAsia="方正黑体简体" w:cs="方正黑体简体"/>
          <w:b w:val="0"/>
          <w:bCs w:val="0"/>
          <w:color w:val="auto"/>
          <w:spacing w:val="6"/>
          <w:lang w:eastAsia="zh-CN"/>
        </w:rPr>
        <w:t>考评目标名称：社会保障</w:t>
      </w:r>
      <w:r>
        <w:rPr>
          <w:rFonts w:hint="eastAsia" w:ascii="方正黑体简体" w:eastAsia="方正黑体简体" w:cs="方正黑体简体"/>
          <w:b w:val="0"/>
          <w:bCs w:val="0"/>
          <w:color w:val="auto"/>
          <w:spacing w:val="6"/>
          <w:lang w:val="en-US" w:eastAsia="zh-CN"/>
        </w:rPr>
        <w:t xml:space="preserve">                 </w:t>
      </w:r>
    </w:p>
    <w:tbl>
      <w:tblPr>
        <w:tblStyle w:val="14"/>
        <w:tblW w:w="9428"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0"/>
        <w:gridCol w:w="1026"/>
        <w:gridCol w:w="667"/>
        <w:gridCol w:w="4980"/>
        <w:gridCol w:w="615"/>
        <w:gridCol w:w="705"/>
        <w:gridCol w:w="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 w:hRule="atLeast"/>
        </w:trPr>
        <w:tc>
          <w:tcPr>
            <w:tcW w:w="910" w:type="dxa"/>
            <w:vMerge w:val="restar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ascii="Times New Roman" w:hAnsi="Times New Roman" w:eastAsia="方正黑体简体" w:cs="Times New Roman"/>
                <w:color w:val="auto"/>
                <w:spacing w:val="6"/>
                <w:sz w:val="18"/>
                <w:szCs w:val="18"/>
              </w:rPr>
              <w:t>被</w:t>
            </w:r>
            <w:r>
              <w:rPr>
                <w:rFonts w:hint="eastAsia" w:ascii="Times New Roman" w:hAnsi="Times New Roman" w:eastAsia="方正黑体简体" w:cs="Times New Roman"/>
                <w:color w:val="auto"/>
                <w:spacing w:val="6"/>
                <w:sz w:val="18"/>
                <w:szCs w:val="18"/>
                <w:lang w:eastAsia="zh-CN"/>
              </w:rPr>
              <w:t>考评</w:t>
            </w:r>
          </w:p>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黑体简体" w:cs="Times New Roman"/>
                <w:color w:val="auto"/>
                <w:spacing w:val="6"/>
                <w:sz w:val="18"/>
                <w:szCs w:val="18"/>
              </w:rPr>
            </w:pPr>
            <w:r>
              <w:rPr>
                <w:rFonts w:ascii="Times New Roman" w:hAnsi="Times New Roman" w:eastAsia="方正黑体简体" w:cs="Times New Roman"/>
                <w:color w:val="auto"/>
                <w:spacing w:val="6"/>
                <w:sz w:val="18"/>
                <w:szCs w:val="18"/>
              </w:rPr>
              <w:t>单位</w:t>
            </w:r>
          </w:p>
        </w:tc>
        <w:tc>
          <w:tcPr>
            <w:tcW w:w="1693" w:type="dxa"/>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过程管控（</w:t>
            </w:r>
            <w:r>
              <w:rPr>
                <w:rFonts w:hint="eastAsia" w:ascii="Times New Roman" w:hAnsi="Times New Roman" w:eastAsia="方正黑体简体" w:cs="Times New Roman"/>
                <w:color w:val="auto"/>
                <w:spacing w:val="6"/>
                <w:sz w:val="18"/>
                <w:szCs w:val="18"/>
                <w:lang w:val="en-US" w:eastAsia="zh-CN"/>
              </w:rPr>
              <w:t>50分</w:t>
            </w:r>
            <w:r>
              <w:rPr>
                <w:rFonts w:hint="eastAsia" w:ascii="Times New Roman" w:hAnsi="Times New Roman" w:eastAsia="方正黑体简体" w:cs="Times New Roman"/>
                <w:color w:val="auto"/>
                <w:spacing w:val="6"/>
                <w:sz w:val="18"/>
                <w:szCs w:val="18"/>
                <w:lang w:eastAsia="zh-CN"/>
              </w:rPr>
              <w:t>）</w:t>
            </w:r>
          </w:p>
        </w:tc>
        <w:tc>
          <w:tcPr>
            <w:tcW w:w="5595" w:type="dxa"/>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年终考评（</w:t>
            </w:r>
            <w:r>
              <w:rPr>
                <w:rFonts w:hint="eastAsia" w:ascii="Times New Roman" w:hAnsi="Times New Roman" w:eastAsia="方正黑体简体" w:cs="Times New Roman"/>
                <w:color w:val="auto"/>
                <w:spacing w:val="6"/>
                <w:sz w:val="18"/>
                <w:szCs w:val="18"/>
                <w:lang w:val="en-US" w:eastAsia="zh-CN"/>
              </w:rPr>
              <w:t>50分</w:t>
            </w:r>
            <w:r>
              <w:rPr>
                <w:rFonts w:hint="eastAsia" w:ascii="Times New Roman" w:hAnsi="Times New Roman" w:eastAsia="方正黑体简体" w:cs="Times New Roman"/>
                <w:color w:val="auto"/>
                <w:spacing w:val="6"/>
                <w:sz w:val="18"/>
                <w:szCs w:val="18"/>
                <w:lang w:eastAsia="zh-CN"/>
              </w:rPr>
              <w:t>）</w:t>
            </w:r>
          </w:p>
        </w:tc>
        <w:tc>
          <w:tcPr>
            <w:tcW w:w="705" w:type="dxa"/>
            <w:vMerge w:val="restar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最终得分</w:t>
            </w:r>
          </w:p>
        </w:tc>
        <w:tc>
          <w:tcPr>
            <w:tcW w:w="525" w:type="dxa"/>
            <w:vMerge w:val="restar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910" w:type="dxa"/>
            <w:vMerge w:val="continue"/>
            <w:tcBorders>
              <w:top w:val="single" w:color="000000" w:sz="4" w:space="0"/>
              <w:left w:val="single" w:color="000000" w:sz="4" w:space="0"/>
              <w:bottom w:val="single" w:color="000000" w:sz="4" w:space="0"/>
              <w:right w:val="single" w:color="auto" w:sz="4" w:space="0"/>
            </w:tcBorders>
            <w:noWrap/>
            <w:vAlign w:val="center"/>
          </w:tcPr>
          <w:p/>
        </w:tc>
        <w:tc>
          <w:tcPr>
            <w:tcW w:w="102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加扣分理由及分值</w:t>
            </w:r>
          </w:p>
        </w:tc>
        <w:tc>
          <w:tcPr>
            <w:tcW w:w="66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得分</w:t>
            </w:r>
          </w:p>
        </w:tc>
        <w:tc>
          <w:tcPr>
            <w:tcW w:w="4980"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黑体简体" w:cs="Times New Roman"/>
                <w:color w:val="auto"/>
                <w:spacing w:val="6"/>
                <w:sz w:val="18"/>
                <w:szCs w:val="18"/>
                <w:lang w:eastAsia="zh-CN"/>
              </w:rPr>
            </w:pPr>
            <w:r>
              <w:rPr>
                <w:rFonts w:hint="eastAsia" w:ascii="Times New Roman" w:hAnsi="Times New Roman" w:eastAsia="方正黑体简体" w:cs="Times New Roman"/>
                <w:color w:val="auto"/>
                <w:spacing w:val="6"/>
                <w:sz w:val="18"/>
                <w:szCs w:val="18"/>
                <w:lang w:eastAsia="zh-CN"/>
              </w:rPr>
              <w:t>加扣分理由</w:t>
            </w:r>
          </w:p>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黑体简体" w:cs="Times New Roman"/>
                <w:color w:val="auto"/>
                <w:spacing w:val="6"/>
                <w:kern w:val="2"/>
                <w:sz w:val="18"/>
                <w:szCs w:val="18"/>
                <w:lang w:val="en-US" w:eastAsia="zh-CN" w:bidi="ar-SA"/>
              </w:rPr>
            </w:pPr>
            <w:r>
              <w:rPr>
                <w:rFonts w:hint="eastAsia" w:ascii="Times New Roman" w:hAnsi="Times New Roman" w:eastAsia="方正黑体简体" w:cs="Times New Roman"/>
                <w:color w:val="auto"/>
                <w:spacing w:val="6"/>
                <w:sz w:val="18"/>
                <w:szCs w:val="18"/>
                <w:lang w:eastAsia="zh-CN"/>
              </w:rPr>
              <w:t>及分值</w:t>
            </w:r>
          </w:p>
        </w:tc>
        <w:tc>
          <w:tcPr>
            <w:tcW w:w="615"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黑体简体" w:cs="Times New Roman"/>
                <w:color w:val="auto"/>
                <w:spacing w:val="6"/>
                <w:kern w:val="2"/>
                <w:sz w:val="18"/>
                <w:szCs w:val="18"/>
                <w:lang w:val="en-US" w:eastAsia="zh-CN" w:bidi="ar-SA"/>
              </w:rPr>
            </w:pPr>
            <w:r>
              <w:rPr>
                <w:rFonts w:hint="eastAsia" w:ascii="Times New Roman" w:hAnsi="Times New Roman" w:eastAsia="方正黑体简体" w:cs="Times New Roman"/>
                <w:color w:val="auto"/>
                <w:spacing w:val="6"/>
                <w:sz w:val="18"/>
                <w:szCs w:val="18"/>
                <w:lang w:eastAsia="zh-CN"/>
              </w:rPr>
              <w:t>得分</w:t>
            </w:r>
          </w:p>
        </w:tc>
        <w:tc>
          <w:tcPr>
            <w:tcW w:w="705" w:type="dxa"/>
            <w:vMerge w:val="continue"/>
            <w:tcBorders>
              <w:top w:val="single" w:color="000000" w:sz="4" w:space="0"/>
              <w:left w:val="single" w:color="000000" w:sz="4" w:space="0"/>
              <w:bottom w:val="single" w:color="000000" w:sz="4" w:space="0"/>
              <w:right w:val="single" w:color="auto" w:sz="4" w:space="0"/>
            </w:tcBorders>
            <w:noWrap/>
            <w:vAlign w:val="center"/>
          </w:tcPr>
          <w:p/>
        </w:tc>
        <w:tc>
          <w:tcPr>
            <w:tcW w:w="525" w:type="dxa"/>
            <w:vMerge w:val="continue"/>
            <w:tcBorders>
              <w:top w:val="single" w:color="000000" w:sz="4" w:space="0"/>
              <w:left w:val="single" w:color="000000" w:sz="4" w:space="0"/>
              <w:bottom w:val="single" w:color="000000" w:sz="4" w:space="0"/>
              <w:right w:val="single" w:color="auto" w:sz="4" w:space="0"/>
            </w:tcBorders>
            <w:noWrap/>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9"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eastAsia="zh-CN"/>
              </w:rPr>
              <w:t>巴州区</w:t>
            </w:r>
          </w:p>
        </w:tc>
        <w:tc>
          <w:tcPr>
            <w:tcW w:w="1026"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eastAsia="zh-CN"/>
              </w:rPr>
              <w:t>无加扣分</w:t>
            </w:r>
          </w:p>
        </w:tc>
        <w:tc>
          <w:tcPr>
            <w:tcW w:w="66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50</w:t>
            </w:r>
          </w:p>
        </w:tc>
        <w:tc>
          <w:tcPr>
            <w:tcW w:w="4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1.巴州区被省委省政府表彰为去冬今春农民工服务保障工作先进单位，加0.5分。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2.巴州区被省农民工工作领导小组评为第二批</w:t>
            </w:r>
            <w:r>
              <w:rPr>
                <w:rFonts w:ascii="Times New Roman" w:hAnsi="Times New Roman" w:eastAsia="方正仿宋简体" w:cs="Times New Roman"/>
                <w:color w:val="auto"/>
                <w:spacing w:val="6"/>
                <w:sz w:val="16"/>
                <w:szCs w:val="16"/>
                <w:lang w:val="en-US" w:eastAsia="zh-CN"/>
              </w:rPr>
              <w:t>返乡入乡创业示范区</w:t>
            </w:r>
            <w:r>
              <w:rPr>
                <w:rFonts w:hint="eastAsia" w:ascii="Times New Roman" w:hAnsi="Times New Roman" w:eastAsia="方正仿宋简体" w:cs="Times New Roman"/>
                <w:color w:val="auto"/>
                <w:spacing w:val="6"/>
                <w:sz w:val="16"/>
                <w:szCs w:val="16"/>
                <w:lang w:val="en-US" w:eastAsia="zh-CN"/>
              </w:rPr>
              <w:t>，加0.3分。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3.巴州区人社局被市政府办公室表扬为</w:t>
            </w:r>
            <w:r>
              <w:rPr>
                <w:rFonts w:ascii="Times New Roman" w:hAnsi="Times New Roman" w:eastAsia="方正仿宋简体" w:cs="Times New Roman"/>
                <w:color w:val="auto"/>
                <w:spacing w:val="6"/>
                <w:sz w:val="16"/>
                <w:szCs w:val="16"/>
                <w:lang w:val="en-US" w:eastAsia="zh-CN"/>
              </w:rPr>
              <w:t>第三届乡土人才创新创业大赛</w:t>
            </w:r>
            <w:r>
              <w:rPr>
                <w:rFonts w:hint="eastAsia" w:ascii="Times New Roman" w:hAnsi="Times New Roman" w:eastAsia="方正仿宋简体" w:cs="Times New Roman"/>
                <w:color w:val="auto"/>
                <w:spacing w:val="6"/>
                <w:sz w:val="16"/>
                <w:szCs w:val="16"/>
                <w:lang w:val="en-US" w:eastAsia="zh-CN"/>
              </w:rPr>
              <w:t>优秀组织奖，加0.2分。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4.</w:t>
            </w:r>
            <w:r>
              <w:rPr>
                <w:rFonts w:ascii="Times New Roman" w:hAnsi="Times New Roman" w:eastAsia="方正仿宋简体" w:cs="Times New Roman"/>
                <w:color w:val="auto"/>
                <w:spacing w:val="6"/>
                <w:sz w:val="16"/>
                <w:szCs w:val="16"/>
                <w:lang w:val="en-US" w:eastAsia="zh-CN"/>
              </w:rPr>
              <w:t>巴州区2020年度保障农民工工资支付工作考核考核评议等级为A级</w:t>
            </w:r>
            <w:r>
              <w:rPr>
                <w:rFonts w:hint="eastAsia" w:ascii="Times New Roman" w:hAnsi="Times New Roman" w:eastAsia="方正仿宋简体" w:cs="Times New Roman"/>
                <w:color w:val="auto"/>
                <w:spacing w:val="6"/>
                <w:sz w:val="16"/>
                <w:szCs w:val="16"/>
                <w:lang w:val="en-US" w:eastAsia="zh-CN"/>
              </w:rPr>
              <w:t>，加0.1分。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5.巴州区选送的执法案例，被省厅评为全省十大优秀案例（第6名），加0.2分。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6.在全市率先建成充分就业示范村，被全市推广，加0.1分。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7.巴州区建设村（社区）农民工综合服务站典型做法被全省推介，加0.1分。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8.巴州区携手浙江义乌包机护送农民工返岗复工、助力群众稳岗就业，被省委办公厅专刊推介，加0.1分。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9.“巴山阿姨”王容华获“全国新星劳务品牌形象代言人”，加0.2分。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10.选送的选手李燕参加四川省第八届农民工技能大赛并荣获三等奖，加0.1分。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11.“巴山建工”被命名为巴中市首批“巴字号”特色劳务品牌，加0.1分。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12.代表巴中市接受全省根治拖欠农民工工资年度考核，受到省厅领导充分肯定，加0.1分。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13.承办</w:t>
            </w:r>
            <w:r>
              <w:rPr>
                <w:rFonts w:ascii="Times New Roman" w:hAnsi="Times New Roman" w:eastAsia="方正仿宋简体" w:cs="Times New Roman"/>
                <w:color w:val="auto"/>
                <w:spacing w:val="6"/>
                <w:sz w:val="16"/>
                <w:szCs w:val="16"/>
                <w:lang w:val="en-US" w:eastAsia="zh-CN"/>
              </w:rPr>
              <w:t>2022年第</w:t>
            </w:r>
            <w:r>
              <w:rPr>
                <w:rFonts w:hint="eastAsia" w:ascii="Times New Roman" w:hAnsi="Times New Roman" w:eastAsia="方正仿宋简体" w:cs="Times New Roman"/>
                <w:color w:val="auto"/>
                <w:spacing w:val="6"/>
                <w:sz w:val="16"/>
                <w:szCs w:val="16"/>
                <w:lang w:val="en-US" w:eastAsia="zh-CN"/>
              </w:rPr>
              <w:t>一</w:t>
            </w:r>
            <w:r>
              <w:rPr>
                <w:rFonts w:ascii="Times New Roman" w:hAnsi="Times New Roman" w:eastAsia="方正仿宋简体" w:cs="Times New Roman"/>
                <w:color w:val="auto"/>
                <w:spacing w:val="6"/>
                <w:sz w:val="16"/>
                <w:szCs w:val="16"/>
                <w:lang w:val="en-US" w:eastAsia="zh-CN"/>
              </w:rPr>
              <w:t>季度全市人社工作流动现场会</w:t>
            </w:r>
            <w:r>
              <w:rPr>
                <w:rFonts w:hint="eastAsia" w:ascii="Times New Roman" w:hAnsi="Times New Roman" w:eastAsia="方正仿宋简体" w:cs="Times New Roman"/>
                <w:color w:val="auto"/>
                <w:spacing w:val="6"/>
                <w:sz w:val="16"/>
                <w:szCs w:val="16"/>
                <w:lang w:val="en-US" w:eastAsia="zh-CN"/>
              </w:rPr>
              <w:t>，加0.2分。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14.巴州区依托东西部劳务协作，在全市率先建设来料加工车间、开展电商直播培训和直播带货活动、建设义乌就业创业指导专家巴州服务站，加0.1分。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15.巴州区会同恩阳区成功举办首期创业培训夏令营活动，加0.1分。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16.巴州区人社工作8次在国家级媒体上宣传报道，每件加0.5分，但此项加分最高不超过1分，共加1分。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lang w:val="en-US" w:eastAsia="zh-CN"/>
              </w:rPr>
            </w:pPr>
            <w:r>
              <w:rPr>
                <w:rFonts w:hint="eastAsia" w:ascii="Times New Roman" w:hAnsi="Times New Roman" w:eastAsia="方正仿宋简体" w:cs="Times New Roman"/>
                <w:color w:val="auto"/>
                <w:spacing w:val="6"/>
                <w:sz w:val="16"/>
                <w:szCs w:val="16"/>
                <w:lang w:val="en-US" w:eastAsia="zh-CN"/>
              </w:rPr>
              <w:t>17.抽查回引创业人员18人，1人信息有误，扣0.08分。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53.42</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103.42</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0" w:hRule="atLeast"/>
        </w:trPr>
        <w:tc>
          <w:tcPr>
            <w:tcW w:w="91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eastAsia="zh-CN"/>
              </w:rPr>
              <w:t>恩阳区</w:t>
            </w:r>
          </w:p>
        </w:tc>
        <w:tc>
          <w:tcPr>
            <w:tcW w:w="1026" w:type="dxa"/>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eastAsia="zh-CN"/>
              </w:rPr>
              <w:t>无加扣分</w:t>
            </w:r>
          </w:p>
        </w:tc>
        <w:tc>
          <w:tcPr>
            <w:tcW w:w="667"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val="en-US" w:eastAsia="zh-CN"/>
              </w:rPr>
              <w:t>50</w:t>
            </w:r>
          </w:p>
        </w:tc>
        <w:tc>
          <w:tcPr>
            <w:tcW w:w="498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1.恩阳区登科街道登科社区被人社部认定为第五批国家级充分就业社区，加0.5分。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2.恩阳区被省委省政府表彰为去冬今春农民工服务保障工作先进单位，加0.5分。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3.恩阳区人社局被市政府办公室表扬为</w:t>
            </w:r>
            <w:r>
              <w:rPr>
                <w:rFonts w:ascii="Times New Roman" w:hAnsi="Times New Roman" w:eastAsia="方正仿宋简体" w:cs="Times New Roman"/>
                <w:color w:val="auto"/>
                <w:spacing w:val="6"/>
                <w:sz w:val="16"/>
                <w:szCs w:val="16"/>
                <w:lang w:val="en-US" w:eastAsia="zh-CN"/>
              </w:rPr>
              <w:t>第三届乡土人才创新创业大赛</w:t>
            </w:r>
            <w:r>
              <w:rPr>
                <w:rFonts w:hint="eastAsia" w:ascii="Times New Roman" w:hAnsi="Times New Roman" w:eastAsia="方正仿宋简体" w:cs="Times New Roman"/>
                <w:color w:val="auto"/>
                <w:spacing w:val="6"/>
                <w:sz w:val="16"/>
                <w:szCs w:val="16"/>
                <w:lang w:val="en-US" w:eastAsia="zh-CN"/>
              </w:rPr>
              <w:t>优秀组织奖，加0.2分。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4.恩阳</w:t>
            </w:r>
            <w:r>
              <w:rPr>
                <w:rFonts w:ascii="Times New Roman" w:hAnsi="Times New Roman" w:eastAsia="方正仿宋简体" w:cs="Times New Roman"/>
                <w:color w:val="auto"/>
                <w:spacing w:val="6"/>
                <w:sz w:val="16"/>
                <w:szCs w:val="16"/>
                <w:lang w:val="en-US" w:eastAsia="zh-CN"/>
              </w:rPr>
              <w:t>区2020年度保障农民工工资支付工作考核考核评议等级为A级</w:t>
            </w:r>
            <w:r>
              <w:rPr>
                <w:rFonts w:hint="eastAsia" w:ascii="Times New Roman" w:hAnsi="Times New Roman" w:eastAsia="方正仿宋简体" w:cs="Times New Roman"/>
                <w:color w:val="auto"/>
                <w:spacing w:val="6"/>
                <w:sz w:val="16"/>
                <w:szCs w:val="16"/>
                <w:lang w:val="en-US" w:eastAsia="zh-CN"/>
              </w:rPr>
              <w:t>，加0.1分。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5.组织选送的“恩阳船说”项目荣获第五届“中国创翼”创业创新大赛四川赛区服务业组一等奖，加0.3分。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6.组织选送的“巴山芦丁技”项目荣获第五届“中国创翼”创业创新大赛四川赛区劳务品牌专项赛组三等奖，加0.1分。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7.恩阳区创新建设“区—镇—村”三级零工市场促进零工灵活就业受到市委深改办专刊推介，加0.1分。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8.恩阳区报送的执法案例被省厅评为全省十大优秀案例（第四名），加0.2分。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9.率先在柳林镇建成区域性劳动争议联处中心，加0.1分。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10.“巴山芦丁技”被命名为巴中市首批“巴字号”特色劳务品牌，加0.1分。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11.承办巴中首期创业培训夏令营活动，加0.1分。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12.代表巴中市接受全省根治拖欠农民工工资年度考核，受到省厅领导充分肯定，加0.1分。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13.承办</w:t>
            </w:r>
            <w:r>
              <w:rPr>
                <w:rFonts w:ascii="Times New Roman" w:hAnsi="Times New Roman" w:eastAsia="方正仿宋简体" w:cs="Times New Roman"/>
                <w:color w:val="auto"/>
                <w:spacing w:val="6"/>
                <w:sz w:val="16"/>
                <w:szCs w:val="16"/>
                <w:lang w:val="en-US" w:eastAsia="zh-CN"/>
              </w:rPr>
              <w:t>2022年第</w:t>
            </w:r>
            <w:r>
              <w:rPr>
                <w:rFonts w:hint="eastAsia" w:ascii="Times New Roman" w:hAnsi="Times New Roman" w:eastAsia="方正仿宋简体" w:cs="Times New Roman"/>
                <w:color w:val="auto"/>
                <w:spacing w:val="6"/>
                <w:sz w:val="16"/>
                <w:szCs w:val="16"/>
                <w:lang w:val="en-US" w:eastAsia="zh-CN"/>
              </w:rPr>
              <w:t>二</w:t>
            </w:r>
            <w:r>
              <w:rPr>
                <w:rFonts w:ascii="Times New Roman" w:hAnsi="Times New Roman" w:eastAsia="方正仿宋简体" w:cs="Times New Roman"/>
                <w:color w:val="auto"/>
                <w:spacing w:val="6"/>
                <w:sz w:val="16"/>
                <w:szCs w:val="16"/>
                <w:lang w:val="en-US" w:eastAsia="zh-CN"/>
              </w:rPr>
              <w:t>季度全市人社工作流动现场会</w:t>
            </w:r>
            <w:r>
              <w:rPr>
                <w:rFonts w:hint="eastAsia" w:ascii="Times New Roman" w:hAnsi="Times New Roman" w:eastAsia="方正仿宋简体" w:cs="Times New Roman"/>
                <w:color w:val="auto"/>
                <w:spacing w:val="6"/>
                <w:sz w:val="16"/>
                <w:szCs w:val="16"/>
                <w:lang w:val="en-US" w:eastAsia="zh-CN"/>
              </w:rPr>
              <w:t>，加0.2分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14.恩阳区人社工作14次在国家级媒体上宣传报道，每件加0.5分，但此项加分最高不超过1分，共加1分。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仿宋_GB2312" w:eastAsia="仿宋_GB2312" w:cs="Times New Roman"/>
                <w:color w:val="000000"/>
                <w:kern w:val="2"/>
                <w:sz w:val="32"/>
                <w:szCs w:val="32"/>
                <w:lang w:val="en-US" w:eastAsia="zh-CN" w:bidi="ar-SA"/>
              </w:rPr>
            </w:pPr>
            <w:r>
              <w:rPr>
                <w:rFonts w:hint="eastAsia" w:ascii="Times New Roman" w:hAnsi="Times New Roman" w:eastAsia="方正仿宋简体" w:cs="Times New Roman"/>
                <w:color w:val="auto"/>
                <w:spacing w:val="6"/>
                <w:sz w:val="16"/>
                <w:szCs w:val="16"/>
                <w:lang w:val="en-US" w:eastAsia="zh-CN"/>
              </w:rPr>
              <w:t>15.抽查回引创业人员18人，1人信息有误，扣0.08分。</w:t>
            </w:r>
          </w:p>
        </w:tc>
        <w:tc>
          <w:tcPr>
            <w:tcW w:w="61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53.</w:t>
            </w:r>
            <w:r>
              <w:rPr>
                <w:rFonts w:ascii="Times New Roman" w:hAnsi="Times New Roman" w:eastAsia="方正仿宋简体" w:cs="Times New Roman"/>
                <w:b/>
                <w:bCs/>
                <w:color w:val="auto"/>
                <w:spacing w:val="6"/>
                <w:sz w:val="16"/>
                <w:szCs w:val="16"/>
                <w:lang w:val="en-US" w:eastAsia="zh-CN"/>
              </w:rPr>
              <w:t>7</w:t>
            </w:r>
            <w:r>
              <w:rPr>
                <w:rFonts w:hint="eastAsia" w:ascii="Times New Roman" w:hAnsi="Times New Roman" w:eastAsia="方正仿宋简体" w:cs="Times New Roman"/>
                <w:b/>
                <w:bCs/>
                <w:color w:val="auto"/>
                <w:spacing w:val="6"/>
                <w:sz w:val="16"/>
                <w:szCs w:val="16"/>
                <w:lang w:val="en-US" w:eastAsia="zh-CN"/>
              </w:rPr>
              <w:t>2</w:t>
            </w:r>
          </w:p>
        </w:tc>
        <w:tc>
          <w:tcPr>
            <w:tcW w:w="70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103.52</w:t>
            </w:r>
          </w:p>
        </w:tc>
        <w:tc>
          <w:tcPr>
            <w:tcW w:w="52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2"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eastAsia="zh-CN"/>
              </w:rPr>
              <w:t>南江县</w:t>
            </w:r>
          </w:p>
        </w:tc>
        <w:tc>
          <w:tcPr>
            <w:tcW w:w="1026"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eastAsia="zh-CN"/>
              </w:rPr>
              <w:t>无加扣分</w:t>
            </w:r>
          </w:p>
        </w:tc>
        <w:tc>
          <w:tcPr>
            <w:tcW w:w="66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val="en-US" w:eastAsia="zh-CN"/>
              </w:rPr>
              <w:t>50</w:t>
            </w:r>
          </w:p>
        </w:tc>
        <w:tc>
          <w:tcPr>
            <w:tcW w:w="4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1.在全市率先建设法治人社主题公园，加0.1分。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2.培育的“南江黄羊领羊倌”项目获得第五届“中国创翼”创业创新大赛暨劳务品牌创业大赛四川赛区劳务品牌专项赛三等奖，加0.1分。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3.培育的2名选手在四川省第二届全国公共就业服务专项业务竞赛四川赛区总决赛双双获得“全省十佳职业指导员”，加0.2分。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4.在全市率先编制被征地农民养老保障办理指南，加0.1分。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5.省留学回国人员国情省情研修智力服务巴中来南开展活动，加0.1分。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6.“南江黄羊领羊倌”被命名为巴中市首批“巴字号”特色劳务品牌，加0.1分。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7.黄晓东副厅长肯定性批示：“南江县农民工服务保障工作特别是农民工就业创业工作有思路、有亮点、有创新，值得学习借鉴”，加0.1分。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8.在全市率先开展农民技术人才职称评定，加0.1分。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9.承办</w:t>
            </w:r>
            <w:r>
              <w:rPr>
                <w:rFonts w:ascii="Times New Roman" w:hAnsi="Times New Roman" w:eastAsia="方正仿宋简体" w:cs="Times New Roman"/>
                <w:color w:val="auto"/>
                <w:spacing w:val="6"/>
                <w:sz w:val="16"/>
                <w:szCs w:val="16"/>
                <w:lang w:val="en-US" w:eastAsia="zh-CN"/>
              </w:rPr>
              <w:t>2022年第三季度全市人社工作流动现场会</w:t>
            </w:r>
            <w:r>
              <w:rPr>
                <w:rFonts w:hint="eastAsia" w:ascii="Times New Roman" w:hAnsi="Times New Roman" w:eastAsia="方正仿宋简体" w:cs="Times New Roman"/>
                <w:color w:val="auto"/>
                <w:spacing w:val="6"/>
                <w:sz w:val="16"/>
                <w:szCs w:val="16"/>
                <w:lang w:val="en-US" w:eastAsia="zh-CN"/>
              </w:rPr>
              <w:t>，加0.2分。</w:t>
            </w:r>
          </w:p>
          <w:p>
            <w:pPr>
              <w:pStyle w:val="13"/>
              <w:keepNext w:val="0"/>
              <w:keepLines w:val="0"/>
              <w:pageBreakBefore w:val="0"/>
              <w:widowControl w:val="0"/>
              <w:kinsoku/>
              <w:wordWrap/>
              <w:overflowPunct/>
              <w:topLinePunct w:val="0"/>
              <w:autoSpaceDE/>
              <w:autoSpaceDN/>
              <w:bidi w:val="0"/>
              <w:adjustRightInd/>
              <w:snapToGrid/>
              <w:ind w:firstLine="172" w:firstLineChars="100"/>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10.南江县人社工作2次在国家级媒体上宣传报道，每件加0.5分，共加1分。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52.1</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102.1</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6" w:hRule="atLeast"/>
        </w:trPr>
        <w:tc>
          <w:tcPr>
            <w:tcW w:w="91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eastAsia="zh-CN"/>
              </w:rPr>
              <w:t>通江县</w:t>
            </w:r>
          </w:p>
        </w:tc>
        <w:tc>
          <w:tcPr>
            <w:tcW w:w="1026" w:type="dxa"/>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eastAsia="zh-CN"/>
              </w:rPr>
              <w:t>无加扣分</w:t>
            </w:r>
          </w:p>
        </w:tc>
        <w:tc>
          <w:tcPr>
            <w:tcW w:w="667" w:type="dxa"/>
            <w:tcBorders>
              <w:top w:val="single" w:color="auto"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val="en-US" w:eastAsia="zh-CN"/>
              </w:rPr>
              <w:t>50</w:t>
            </w:r>
          </w:p>
        </w:tc>
        <w:tc>
          <w:tcPr>
            <w:tcW w:w="4980"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1.通江县被省农民工工作领导小组评为第二批</w:t>
            </w:r>
            <w:r>
              <w:rPr>
                <w:rFonts w:ascii="Times New Roman" w:hAnsi="Times New Roman" w:eastAsia="方正仿宋简体" w:cs="Times New Roman"/>
                <w:color w:val="auto"/>
                <w:spacing w:val="6"/>
                <w:sz w:val="16"/>
                <w:szCs w:val="16"/>
                <w:lang w:val="en-US" w:eastAsia="zh-CN"/>
              </w:rPr>
              <w:t>返乡入乡创业示范</w:t>
            </w:r>
            <w:r>
              <w:rPr>
                <w:rFonts w:hint="eastAsia" w:ascii="Times New Roman" w:hAnsi="Times New Roman" w:eastAsia="方正仿宋简体" w:cs="Times New Roman"/>
                <w:color w:val="auto"/>
                <w:spacing w:val="6"/>
                <w:sz w:val="16"/>
                <w:szCs w:val="16"/>
                <w:lang w:val="en-US" w:eastAsia="zh-CN"/>
              </w:rPr>
              <w:t>县，加0.3分。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2.成功创建2022年度博士后创新实践基地，被省厅发文认定，加0.2分。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3.成功创建2022年度博士后科研工作站，被省厅发文认定，加0.2分。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4.成功创建四川省技能大师工作室，被省厅发文认定，加0.2分。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5.组织编写《红色社保、人性光辉，川陕苏区人力资源和社会保障工作》，收到省厅领导肯定，加0.1分。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6.省留学回国人员国情省情研修智力服务巴中来通开展活动，加0.1分。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7.通江县深入开展根治欠薪网格化管理被全省推广，加0.1分。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8.代表巴中市接受全省根治拖欠农民工工资年度考核，受到省厅领导充分肯定，加0.1分。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9.承办</w:t>
            </w:r>
            <w:r>
              <w:rPr>
                <w:rFonts w:ascii="Times New Roman" w:hAnsi="Times New Roman" w:eastAsia="方正仿宋简体" w:cs="Times New Roman"/>
                <w:color w:val="auto"/>
                <w:spacing w:val="6"/>
                <w:sz w:val="16"/>
                <w:szCs w:val="16"/>
                <w:lang w:val="en-US" w:eastAsia="zh-CN"/>
              </w:rPr>
              <w:t>2022年第</w:t>
            </w:r>
            <w:r>
              <w:rPr>
                <w:rFonts w:hint="eastAsia" w:ascii="Times New Roman" w:hAnsi="Times New Roman" w:eastAsia="方正仿宋简体" w:cs="Times New Roman"/>
                <w:color w:val="auto"/>
                <w:spacing w:val="6"/>
                <w:sz w:val="16"/>
                <w:szCs w:val="16"/>
                <w:lang w:val="en-US" w:eastAsia="zh-CN"/>
              </w:rPr>
              <w:t>四</w:t>
            </w:r>
            <w:r>
              <w:rPr>
                <w:rFonts w:ascii="Times New Roman" w:hAnsi="Times New Roman" w:eastAsia="方正仿宋简体" w:cs="Times New Roman"/>
                <w:color w:val="auto"/>
                <w:spacing w:val="6"/>
                <w:sz w:val="16"/>
                <w:szCs w:val="16"/>
                <w:lang w:val="en-US" w:eastAsia="zh-CN"/>
              </w:rPr>
              <w:t>季度全市人社工作流动现场会</w:t>
            </w:r>
            <w:r>
              <w:rPr>
                <w:rFonts w:hint="eastAsia" w:ascii="Times New Roman" w:hAnsi="Times New Roman" w:eastAsia="方正仿宋简体" w:cs="Times New Roman"/>
                <w:color w:val="auto"/>
                <w:spacing w:val="6"/>
                <w:sz w:val="16"/>
                <w:szCs w:val="16"/>
                <w:lang w:val="en-US" w:eastAsia="zh-CN"/>
              </w:rPr>
              <w:t>，加0.2分。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kern w:val="2"/>
                <w:sz w:val="16"/>
                <w:szCs w:val="16"/>
                <w:lang w:val="en-US" w:eastAsia="zh-CN" w:bidi="ar-SA"/>
              </w:rPr>
            </w:pPr>
            <w:r>
              <w:rPr>
                <w:rFonts w:hint="eastAsia" w:ascii="Times New Roman" w:hAnsi="Times New Roman" w:eastAsia="方正仿宋简体" w:cs="Times New Roman"/>
                <w:color w:val="auto"/>
                <w:spacing w:val="6"/>
                <w:sz w:val="16"/>
                <w:szCs w:val="16"/>
                <w:lang w:val="en-US" w:eastAsia="zh-CN"/>
              </w:rPr>
              <w:t>10.通江县人社工作14次在国家级媒体上宣传报道，每件加0.5分，但此项加分最高不超过1分，共加1分。</w:t>
            </w:r>
          </w:p>
        </w:tc>
        <w:tc>
          <w:tcPr>
            <w:tcW w:w="61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52.5</w:t>
            </w:r>
          </w:p>
        </w:tc>
        <w:tc>
          <w:tcPr>
            <w:tcW w:w="70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102.5</w:t>
            </w:r>
          </w:p>
        </w:tc>
        <w:tc>
          <w:tcPr>
            <w:tcW w:w="52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7" w:hRule="atLeast"/>
        </w:trPr>
        <w:tc>
          <w:tcPr>
            <w:tcW w:w="9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eastAsia="zh-CN"/>
              </w:rPr>
              <w:t>平昌县</w:t>
            </w:r>
          </w:p>
        </w:tc>
        <w:tc>
          <w:tcPr>
            <w:tcW w:w="1026"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eastAsia="zh-CN"/>
              </w:rPr>
              <w:t>无加扣分</w:t>
            </w:r>
          </w:p>
        </w:tc>
        <w:tc>
          <w:tcPr>
            <w:tcW w:w="667"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color w:val="auto"/>
                <w:spacing w:val="6"/>
                <w:sz w:val="16"/>
                <w:szCs w:val="16"/>
                <w:lang w:eastAsia="zh-CN"/>
              </w:rPr>
            </w:pPr>
            <w:r>
              <w:rPr>
                <w:rFonts w:hint="eastAsia" w:ascii="Times New Roman" w:hAnsi="Times New Roman" w:eastAsia="方正仿宋简体" w:cs="Times New Roman"/>
                <w:color w:val="auto"/>
                <w:spacing w:val="6"/>
                <w:sz w:val="16"/>
                <w:szCs w:val="16"/>
                <w:lang w:val="en-US" w:eastAsia="zh-CN"/>
              </w:rPr>
              <w:t>50</w:t>
            </w:r>
          </w:p>
        </w:tc>
        <w:tc>
          <w:tcPr>
            <w:tcW w:w="49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1.平昌县人社局被省人社厅通报表扬为2021年度全省工伤保险领域表现突出单位（省厅2021年12月底发文），加0.2分；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2.</w:t>
            </w:r>
            <w:r>
              <w:rPr>
                <w:rFonts w:ascii="Times New Roman" w:hAnsi="Times New Roman" w:eastAsia="方正仿宋简体" w:cs="Times New Roman"/>
                <w:color w:val="auto"/>
                <w:spacing w:val="6"/>
                <w:sz w:val="16"/>
                <w:szCs w:val="16"/>
                <w:lang w:val="en-US" w:eastAsia="zh-CN"/>
              </w:rPr>
              <w:t>平昌县人社局被省人社厅通报表扬为</w:t>
            </w:r>
            <w:r>
              <w:rPr>
                <w:rFonts w:hint="eastAsia" w:ascii="Times New Roman" w:hAnsi="Times New Roman" w:eastAsia="方正仿宋简体" w:cs="Times New Roman"/>
                <w:color w:val="auto"/>
                <w:spacing w:val="6"/>
                <w:sz w:val="16"/>
                <w:szCs w:val="16"/>
                <w:lang w:val="en-US" w:eastAsia="zh-CN"/>
              </w:rPr>
              <w:t>2022年度</w:t>
            </w:r>
            <w:r>
              <w:rPr>
                <w:rFonts w:ascii="Times New Roman" w:hAnsi="Times New Roman" w:eastAsia="方正仿宋简体" w:cs="Times New Roman"/>
                <w:color w:val="auto"/>
                <w:spacing w:val="6"/>
                <w:sz w:val="16"/>
                <w:szCs w:val="16"/>
                <w:lang w:val="en-US" w:eastAsia="zh-CN"/>
              </w:rPr>
              <w:t>全省工伤保险领域表现突出单位</w:t>
            </w:r>
            <w:r>
              <w:rPr>
                <w:rFonts w:hint="eastAsia" w:ascii="Times New Roman" w:hAnsi="Times New Roman" w:eastAsia="方正仿宋简体" w:cs="Times New Roman"/>
                <w:color w:val="auto"/>
                <w:spacing w:val="6"/>
                <w:sz w:val="16"/>
                <w:szCs w:val="16"/>
                <w:lang w:val="en-US" w:eastAsia="zh-CN"/>
              </w:rPr>
              <w:t>，加0.2分。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3.成功创建1个省级创业孵化基地，加0.2分。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4.在全市率先成立社会保障服务中心，专门负责人力资源和社会保障服务大厅和基层站所公共人社服务管理事务，加0.1分。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5.在全市率先建成县级人力资源市场（平昌县零工市场），加0.1分。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6.在全市率先成立人社局主管的国有人力资源开发有限责任公司，加0.1分。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7.《膳食膳中-中央厨房健康膳食》代表巴中参加第五届“中国创翼”创业创新大赛暨劳务品牌创业大赛，荣获四川赛区优秀奖，加0.05分。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8.代表巴中市接受全省根治拖欠农民工工资年度考核，受到省厅领导充分肯定，加0.1分。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9.承办</w:t>
            </w:r>
            <w:r>
              <w:rPr>
                <w:rFonts w:ascii="Times New Roman" w:hAnsi="Times New Roman" w:eastAsia="方正仿宋简体" w:cs="Times New Roman"/>
                <w:color w:val="auto"/>
                <w:spacing w:val="6"/>
                <w:sz w:val="16"/>
                <w:szCs w:val="16"/>
                <w:lang w:val="en-US" w:eastAsia="zh-CN"/>
              </w:rPr>
              <w:t>2022年第</w:t>
            </w:r>
            <w:r>
              <w:rPr>
                <w:rFonts w:hint="eastAsia" w:ascii="Times New Roman" w:hAnsi="Times New Roman" w:eastAsia="方正仿宋简体" w:cs="Times New Roman"/>
                <w:color w:val="auto"/>
                <w:spacing w:val="6"/>
                <w:sz w:val="16"/>
                <w:szCs w:val="16"/>
                <w:lang w:val="en-US" w:eastAsia="zh-CN"/>
              </w:rPr>
              <w:t>四</w:t>
            </w:r>
            <w:r>
              <w:rPr>
                <w:rFonts w:ascii="Times New Roman" w:hAnsi="Times New Roman" w:eastAsia="方正仿宋简体" w:cs="Times New Roman"/>
                <w:color w:val="auto"/>
                <w:spacing w:val="6"/>
                <w:sz w:val="16"/>
                <w:szCs w:val="16"/>
                <w:lang w:val="en-US" w:eastAsia="zh-CN"/>
              </w:rPr>
              <w:t>季度全市人社工作流动现场会</w:t>
            </w:r>
            <w:r>
              <w:rPr>
                <w:rFonts w:hint="eastAsia" w:ascii="Times New Roman" w:hAnsi="Times New Roman" w:eastAsia="方正仿宋简体" w:cs="Times New Roman"/>
                <w:color w:val="auto"/>
                <w:spacing w:val="6"/>
                <w:sz w:val="16"/>
                <w:szCs w:val="16"/>
                <w:lang w:val="en-US" w:eastAsia="zh-CN"/>
              </w:rPr>
              <w:t>，加0.2分。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hint="eastAsia"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10.平昌县人社工作5次在国家级媒体上宣传报道，每件加0.5分，但此项加分最高不超过1分，共加1分。</w:t>
            </w:r>
          </w:p>
          <w:p>
            <w:pPr>
              <w:keepNext w:val="0"/>
              <w:keepLines w:val="0"/>
              <w:pageBreakBefore w:val="0"/>
              <w:widowControl w:val="0"/>
              <w:kinsoku/>
              <w:wordWrap/>
              <w:overflowPunct/>
              <w:topLinePunct w:val="0"/>
              <w:autoSpaceDE/>
              <w:autoSpaceDN/>
              <w:bidi w:val="0"/>
              <w:adjustRightInd/>
              <w:snapToGrid/>
              <w:spacing w:line="240" w:lineRule="exact"/>
              <w:ind w:right="0" w:firstLine="172" w:firstLineChars="100"/>
              <w:jc w:val="left"/>
              <w:textAlignment w:val="auto"/>
              <w:rPr>
                <w:rFonts w:ascii="Times New Roman" w:hAnsi="Times New Roman" w:eastAsia="方正仿宋简体" w:cs="Times New Roman"/>
                <w:color w:val="auto"/>
                <w:spacing w:val="6"/>
                <w:sz w:val="16"/>
                <w:szCs w:val="16"/>
                <w:lang w:val="en-US" w:eastAsia="zh-CN"/>
              </w:rPr>
            </w:pPr>
            <w:r>
              <w:rPr>
                <w:rFonts w:hint="eastAsia" w:ascii="Times New Roman" w:hAnsi="Times New Roman" w:eastAsia="方正仿宋简体" w:cs="Times New Roman"/>
                <w:color w:val="auto"/>
                <w:spacing w:val="6"/>
                <w:sz w:val="16"/>
                <w:szCs w:val="16"/>
                <w:lang w:val="en-US" w:eastAsia="zh-CN"/>
              </w:rPr>
              <w:t>11.平昌县挤占挪用就业专项资金，被省上通报，扣0.2分。</w:t>
            </w:r>
          </w:p>
        </w:tc>
        <w:tc>
          <w:tcPr>
            <w:tcW w:w="6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eastAsia"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52.05</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102.05</w:t>
            </w:r>
          </w:p>
        </w:tc>
        <w:tc>
          <w:tcPr>
            <w:tcW w:w="5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ascii="Times New Roman" w:hAnsi="Times New Roman" w:eastAsia="方正仿宋简体" w:cs="Times New Roman"/>
                <w:b/>
                <w:bCs/>
                <w:color w:val="auto"/>
                <w:spacing w:val="6"/>
                <w:sz w:val="16"/>
                <w:szCs w:val="16"/>
                <w:lang w:val="en-US" w:eastAsia="zh-CN"/>
              </w:rPr>
            </w:pPr>
            <w:r>
              <w:rPr>
                <w:rFonts w:hint="eastAsia" w:ascii="Times New Roman" w:hAnsi="Times New Roman" w:eastAsia="方正仿宋简体" w:cs="Times New Roman"/>
                <w:b/>
                <w:bCs/>
                <w:color w:val="auto"/>
                <w:spacing w:val="6"/>
                <w:sz w:val="16"/>
                <w:szCs w:val="16"/>
                <w:lang w:val="en-US" w:eastAsia="zh-CN"/>
              </w:rPr>
              <w:t>5</w:t>
            </w:r>
          </w:p>
        </w:tc>
      </w:tr>
    </w:tbl>
    <w:p>
      <w:pPr>
        <w:keepNext w:val="0"/>
        <w:keepLines w:val="0"/>
        <w:pageBreakBefore w:val="0"/>
        <w:widowControl w:val="0"/>
        <w:kinsoku/>
        <w:wordWrap/>
        <w:overflowPunct/>
        <w:topLinePunct w:val="0"/>
        <w:autoSpaceDE/>
        <w:autoSpaceDN/>
        <w:bidi w:val="0"/>
        <w:adjustRightInd/>
        <w:snapToGrid/>
        <w:spacing w:line="300" w:lineRule="exact"/>
        <w:ind w:right="0"/>
        <w:textAlignment w:val="auto"/>
        <w:rPr>
          <w:rFonts w:ascii="Times New Roman" w:hAnsi="Times New Roman" w:eastAsia="方正仿宋简体" w:cs="Times New Roman"/>
          <w:b/>
          <w:bCs/>
          <w:color w:val="auto"/>
          <w:spacing w:val="6"/>
          <w:sz w:val="21"/>
          <w:szCs w:val="21"/>
          <w:lang w:val="en-US" w:eastAsia="zh-CN"/>
        </w:rPr>
      </w:pPr>
      <w:r>
        <w:rPr>
          <w:rFonts w:hint="eastAsia" w:ascii="方正黑体简体" w:eastAsia="方正黑体简体" w:cs="方正黑体简体"/>
          <w:b/>
          <w:bCs/>
          <w:color w:val="auto"/>
          <w:spacing w:val="6"/>
          <w:sz w:val="21"/>
          <w:szCs w:val="21"/>
          <w:lang w:eastAsia="zh-CN"/>
        </w:rPr>
        <w:t>备注：</w:t>
      </w:r>
      <w:r>
        <w:rPr>
          <w:rFonts w:ascii="Times New Roman" w:hAnsi="Times New Roman" w:eastAsia="方正仿宋简体" w:cs="Times New Roman"/>
          <w:b/>
          <w:bCs/>
          <w:color w:val="auto"/>
          <w:spacing w:val="6"/>
          <w:sz w:val="21"/>
          <w:szCs w:val="21"/>
          <w:lang w:val="en-US" w:eastAsia="zh-CN"/>
        </w:rPr>
        <w:t>1.</w:t>
      </w:r>
      <w:r>
        <w:rPr>
          <w:rFonts w:hint="eastAsia" w:ascii="Times New Roman" w:hAnsi="Times New Roman" w:eastAsia="方正仿宋简体" w:cs="Times New Roman"/>
          <w:b/>
          <w:bCs/>
          <w:color w:val="auto"/>
          <w:spacing w:val="6"/>
          <w:sz w:val="21"/>
          <w:szCs w:val="21"/>
          <w:lang w:val="en-US" w:eastAsia="zh-CN"/>
        </w:rPr>
        <w:t xml:space="preserve"> </w:t>
      </w:r>
      <w:r>
        <w:rPr>
          <w:rFonts w:ascii="Times New Roman" w:hAnsi="Times New Roman" w:eastAsia="方正仿宋简体" w:cs="Times New Roman"/>
          <w:b/>
          <w:bCs/>
          <w:color w:val="auto"/>
          <w:spacing w:val="6"/>
          <w:sz w:val="21"/>
          <w:szCs w:val="21"/>
          <w:lang w:eastAsia="zh-CN"/>
        </w:rPr>
        <w:t>被考评单位要严格按照附件</w:t>
      </w:r>
      <w:r>
        <w:rPr>
          <w:rFonts w:ascii="Times New Roman" w:hAnsi="Times New Roman" w:eastAsia="方正仿宋简体" w:cs="Times New Roman"/>
          <w:b/>
          <w:bCs/>
          <w:color w:val="auto"/>
          <w:spacing w:val="6"/>
          <w:sz w:val="21"/>
          <w:szCs w:val="21"/>
          <w:lang w:val="en-US" w:eastAsia="zh-CN"/>
        </w:rPr>
        <w:t>1类别，所有被考评单位应考尽考</w:t>
      </w:r>
      <w:r>
        <w:rPr>
          <w:rFonts w:hint="eastAsia" w:ascii="Times New Roman" w:hAnsi="Times New Roman" w:eastAsia="方正仿宋简体" w:cs="Times New Roman"/>
          <w:b/>
          <w:bCs/>
          <w:color w:val="auto"/>
          <w:spacing w:val="6"/>
          <w:sz w:val="21"/>
          <w:szCs w:val="21"/>
          <w:lang w:val="en-US" w:eastAsia="zh-CN"/>
        </w:rPr>
        <w:t>，按照“1个考评目标1张表”的原则进行填报；</w:t>
      </w:r>
    </w:p>
    <w:p>
      <w:pPr>
        <w:pStyle w:val="13"/>
        <w:keepNext w:val="0"/>
        <w:keepLines w:val="0"/>
        <w:pageBreakBefore w:val="0"/>
        <w:widowControl w:val="0"/>
        <w:numPr>
          <w:ilvl w:val="0"/>
          <w:numId w:val="1"/>
        </w:numPr>
        <w:kinsoku/>
        <w:wordWrap/>
        <w:overflowPunct/>
        <w:topLinePunct w:val="0"/>
        <w:autoSpaceDE/>
        <w:autoSpaceDN/>
        <w:bidi w:val="0"/>
        <w:adjustRightInd/>
        <w:snapToGrid/>
        <w:spacing w:line="300" w:lineRule="exact"/>
        <w:ind w:left="0" w:firstLine="668" w:firstLineChars="300"/>
        <w:textAlignment w:val="auto"/>
        <w:rPr>
          <w:rFonts w:ascii="Times New Roman" w:hAnsi="Times New Roman" w:eastAsia="方正仿宋简体" w:cs="Times New Roman"/>
          <w:b/>
          <w:bCs/>
          <w:color w:val="auto"/>
          <w:spacing w:val="6"/>
          <w:sz w:val="21"/>
          <w:szCs w:val="21"/>
          <w:vertAlign w:val="baseline"/>
          <w:lang w:val="en-US" w:eastAsia="zh-CN"/>
        </w:rPr>
      </w:pPr>
      <w:r>
        <w:rPr>
          <w:rFonts w:hint="eastAsia" w:ascii="Times New Roman" w:hAnsi="Times New Roman" w:eastAsia="方正仿宋简体" w:cs="Times New Roman"/>
          <w:b/>
          <w:bCs/>
          <w:color w:val="auto"/>
          <w:spacing w:val="6"/>
          <w:sz w:val="21"/>
          <w:szCs w:val="21"/>
          <w:lang w:val="en-US" w:eastAsia="zh-CN"/>
        </w:rPr>
        <w:t xml:space="preserve"> </w:t>
      </w:r>
      <w:r>
        <w:rPr>
          <w:rFonts w:ascii="Times New Roman" w:hAnsi="Times New Roman" w:eastAsia="方正仿宋简体" w:cs="Times New Roman"/>
          <w:b/>
          <w:bCs/>
          <w:color w:val="auto"/>
          <w:spacing w:val="6"/>
          <w:sz w:val="21"/>
          <w:szCs w:val="21"/>
          <w:lang w:val="en-US" w:eastAsia="zh-CN"/>
        </w:rPr>
        <w:t>过程管控</w:t>
      </w:r>
      <w:r>
        <w:rPr>
          <w:rFonts w:hint="eastAsia" w:ascii="Times New Roman" w:hAnsi="Times New Roman" w:eastAsia="方正仿宋简体" w:cs="Times New Roman"/>
          <w:b/>
          <w:bCs/>
          <w:color w:val="auto"/>
          <w:spacing w:val="6"/>
          <w:sz w:val="21"/>
          <w:szCs w:val="21"/>
          <w:lang w:val="en-US" w:eastAsia="zh-CN"/>
        </w:rPr>
        <w:t>：</w:t>
      </w:r>
      <w:r>
        <w:rPr>
          <w:rFonts w:ascii="Times New Roman" w:hAnsi="Times New Roman" w:eastAsia="方正仿宋简体" w:cs="Times New Roman"/>
          <w:b/>
          <w:bCs/>
          <w:color w:val="auto"/>
          <w:spacing w:val="6"/>
          <w:sz w:val="21"/>
          <w:szCs w:val="21"/>
          <w:lang w:val="en-US" w:eastAsia="zh-CN"/>
        </w:rPr>
        <w:t>严格按照《关于 2022 年度上半年重点工作目标绩效考评结果的通报》（巴目督领〔2022〕17 号）、《关于 2022 年第三季度重点工作目标绩效考评结果的通报》（巴目督领〔2022〕23 号）文件进行梳理</w:t>
      </w:r>
      <w:r>
        <w:rPr>
          <w:rFonts w:hint="eastAsia" w:ascii="Times New Roman" w:hAnsi="Times New Roman" w:eastAsia="方正仿宋简体" w:cs="Times New Roman"/>
          <w:b/>
          <w:bCs/>
          <w:color w:val="auto"/>
          <w:spacing w:val="6"/>
          <w:sz w:val="21"/>
          <w:szCs w:val="21"/>
          <w:lang w:val="en-US" w:eastAsia="zh-CN"/>
        </w:rPr>
        <w:t>，有扣分的必须严格运用；</w:t>
      </w:r>
      <w:r>
        <w:rPr>
          <w:rFonts w:ascii="Times New Roman" w:hAnsi="Times New Roman" w:eastAsia="方正仿宋简体" w:cs="Times New Roman"/>
          <w:b/>
          <w:bCs/>
          <w:color w:val="auto"/>
          <w:spacing w:val="6"/>
          <w:sz w:val="21"/>
          <w:szCs w:val="21"/>
          <w:lang w:val="en-US" w:eastAsia="zh-CN"/>
        </w:rPr>
        <w:t>第二、三季度过程管控未扣分的，过程管控计满分50分。</w:t>
      </w:r>
    </w:p>
    <w:sectPr>
      <w:footerReference r:id="rId3" w:type="default"/>
      <w:pgSz w:w="11907" w:h="16840"/>
      <w:pgMar w:top="1984" w:right="1474" w:bottom="1871" w:left="1587" w:header="851" w:footer="1474" w:gutter="0"/>
      <w:cols w:space="720" w:num="1"/>
      <w:rtlGutter w:val="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方正书宋_GBK"/>
    <w:panose1 w:val="02010600030101010101"/>
    <w:charset w:val="88"/>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xi Sans">
    <w:altName w:val="DejaVu Sans"/>
    <w:panose1 w:val="00000000000000000000"/>
    <w:charset w:val="00"/>
    <w:family w:val="auto"/>
    <w:pitch w:val="default"/>
    <w:sig w:usb0="00000000" w:usb1="00000000" w:usb2="00000000" w:usb3="00000000" w:csb0="00000000" w:csb1="00000000"/>
  </w:font>
  <w:font w:name="文鼎CS仿宋体">
    <w:altName w:val="黑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黑体_GBK"/>
    <w:panose1 w:val="02010601030101010101"/>
    <w:charset w:val="86"/>
    <w:family w:val="auto"/>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仿宋简体">
    <w:altName w:val="方正仿宋_GBK"/>
    <w:panose1 w:val="02010601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622300" cy="204470"/>
              <wp:effectExtent l="0" t="0" r="0" b="0"/>
              <wp:wrapNone/>
              <wp:docPr id="1" name="文本框 2"/>
              <wp:cNvGraphicFramePr/>
              <a:graphic xmlns:a="http://schemas.openxmlformats.org/drawingml/2006/main">
                <a:graphicData uri="http://schemas.microsoft.com/office/word/2010/wordprocessingShape">
                  <wps:wsp>
                    <wps:cNvSpPr/>
                    <wps:spPr>
                      <a:xfrm>
                        <a:off x="0" y="0"/>
                        <a:ext cx="622300" cy="204470"/>
                      </a:xfrm>
                      <a:prstGeom prst="rect">
                        <a:avLst/>
                      </a:prstGeom>
                      <a:noFill/>
                      <a:ln w="6350" cap="flat" cmpd="sng">
                        <a:noFill/>
                        <a:prstDash val="solid"/>
                        <a:round/>
                      </a:ln>
                    </wps:spPr>
                    <wps:txbx>
                      <w:txbxContent>
                        <w:p>
                          <w:pPr>
                            <w:pStyle w:val="10"/>
                            <w:rPr>
                              <w:rStyle w:val="16"/>
                              <w:rFonts w:ascii="Times New Roman" w:hAnsi="Times New Roman"/>
                              <w:sz w:val="28"/>
                              <w:szCs w:val="28"/>
                            </w:rPr>
                          </w:pPr>
                          <w:r>
                            <w:rPr>
                              <w:rStyle w:val="16"/>
                              <w:rFonts w:ascii="Times New Roman" w:hAnsi="Times New Roman"/>
                              <w:sz w:val="28"/>
                              <w:szCs w:val="28"/>
                            </w:rPr>
                            <w:t xml:space="preserve">— </w:t>
                          </w: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Fonts w:ascii="Times New Roman" w:hAnsi="Times New Roman"/>
                              <w:sz w:val="28"/>
                              <w:szCs w:val="28"/>
                            </w:rPr>
                            <w:fldChar w:fldCharType="separate"/>
                          </w:r>
                          <w:r>
                            <w:rPr>
                              <w:rStyle w:val="16"/>
                              <w:rFonts w:ascii="Times New Roman" w:hAnsi="Times New Roman"/>
                              <w:sz w:val="28"/>
                              <w:szCs w:val="28"/>
                            </w:rPr>
                            <w:t>1</w:t>
                          </w:r>
                          <w:r>
                            <w:rPr>
                              <w:rFonts w:ascii="Times New Roman" w:hAnsi="Times New Roman"/>
                              <w:sz w:val="28"/>
                              <w:szCs w:val="28"/>
                            </w:rPr>
                            <w:fldChar w:fldCharType="end"/>
                          </w:r>
                          <w:r>
                            <w:rPr>
                              <w:rStyle w:val="16"/>
                              <w:rFonts w:ascii="Times New Roman" w:hAnsi="Times New Roman"/>
                              <w:sz w:val="28"/>
                              <w:szCs w:val="28"/>
                            </w:rPr>
                            <w:t xml:space="preserve"> —</w:t>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6.1pt;width:49pt;mso-position-horizontal:outside;mso-position-horizontal-relative:margin;mso-wrap-style:none;z-index:251659264;mso-width-relative:page;mso-height-relative:page;" filled="f" stroked="f" coordsize="21600,21600" o:gfxdata="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">
              <v:fill on="f" focussize="0,0"/>
              <v:stroke on="f" weight="0.5pt" joinstyle="round"/>
              <v:imagedata o:title=""/>
              <o:lock v:ext="edit" aspectratio="f"/>
              <v:textbox inset="0mm,0mm,0mm,0mm" style="mso-fit-shape-to-text:t;">
                <w:txbxContent>
                  <w:p>
                    <w:pPr>
                      <w:pStyle w:val="10"/>
                      <w:rPr>
                        <w:rStyle w:val="16"/>
                        <w:rFonts w:ascii="Times New Roman" w:hAnsi="Times New Roman"/>
                        <w:sz w:val="28"/>
                        <w:szCs w:val="28"/>
                      </w:rPr>
                    </w:pPr>
                    <w:r>
                      <w:rPr>
                        <w:rStyle w:val="16"/>
                        <w:rFonts w:ascii="Times New Roman" w:hAnsi="Times New Roman"/>
                        <w:sz w:val="28"/>
                        <w:szCs w:val="28"/>
                      </w:rPr>
                      <w:t xml:space="preserve">— </w:t>
                    </w:r>
                    <w:r>
                      <w:rPr>
                        <w:rStyle w:val="16"/>
                        <w:rFonts w:ascii="Times New Roman" w:hAnsi="Times New Roman"/>
                        <w:sz w:val="28"/>
                        <w:szCs w:val="28"/>
                      </w:rPr>
                      <w:fldChar w:fldCharType="begin"/>
                    </w:r>
                    <w:r>
                      <w:rPr>
                        <w:rStyle w:val="16"/>
                        <w:rFonts w:ascii="Times New Roman" w:hAnsi="Times New Roman"/>
                        <w:sz w:val="28"/>
                        <w:szCs w:val="28"/>
                      </w:rPr>
                      <w:instrText xml:space="preserve">PAGE  </w:instrText>
                    </w:r>
                    <w:r>
                      <w:rPr>
                        <w:rFonts w:ascii="Times New Roman" w:hAnsi="Times New Roman"/>
                        <w:sz w:val="28"/>
                        <w:szCs w:val="28"/>
                      </w:rPr>
                      <w:fldChar w:fldCharType="separate"/>
                    </w:r>
                    <w:r>
                      <w:rPr>
                        <w:rStyle w:val="16"/>
                        <w:rFonts w:ascii="Times New Roman" w:hAnsi="Times New Roman"/>
                        <w:sz w:val="28"/>
                        <w:szCs w:val="28"/>
                      </w:rPr>
                      <w:t>1</w:t>
                    </w:r>
                    <w:r>
                      <w:rPr>
                        <w:rFonts w:ascii="Times New Roman" w:hAnsi="Times New Roman"/>
                        <w:sz w:val="28"/>
                        <w:szCs w:val="28"/>
                      </w:rPr>
                      <w:fldChar w:fldCharType="end"/>
                    </w:r>
                    <w:r>
                      <w:rPr>
                        <w:rStyle w:val="16"/>
                        <w:rFonts w:ascii="Times New Roman" w:hAnsi="Times New Roman"/>
                        <w:sz w:val="28"/>
                        <w:szCs w:val="28"/>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AA519"/>
    <w:multiLevelType w:val="singleLevel"/>
    <w:tmpl w:val="EA1AA519"/>
    <w:lvl w:ilvl="0" w:tentative="0">
      <w:start w:val="2"/>
      <w:numFmt w:val="decimal"/>
      <w:lvlText w:val="%1."/>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dit="readOnly" w:enforcement="0"/>
  <w:defaultTabStop w:val="420"/>
  <w:drawingGridHorizontalSpacing w:val="160"/>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compatSetting w:name="compatibilityMode" w:uri="http://schemas.microsoft.com/office/word" w:val="15"/>
  </w:compat>
  <w:rsids>
    <w:rsidRoot w:val="00000000"/>
    <w:rsid w:val="5B7D39F0"/>
    <w:rsid w:val="FD57683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color w:val="000000"/>
      <w:kern w:val="2"/>
      <w:sz w:val="32"/>
      <w:szCs w:val="3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eastAsia="宋体" w:cs="宋体"/>
      <w:b/>
      <w:bCs/>
      <w:color w:val="auto"/>
      <w:kern w:val="36"/>
      <w:sz w:val="48"/>
      <w:szCs w:val="48"/>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5">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Normal Indent"/>
    <w:basedOn w:val="1"/>
    <w:uiPriority w:val="0"/>
    <w:pPr>
      <w:ind w:firstLine="680"/>
    </w:pPr>
    <w:rPr>
      <w:rFonts w:eastAsia="文鼎CS仿宋体"/>
    </w:rPr>
  </w:style>
  <w:style w:type="paragraph" w:styleId="6">
    <w:name w:val="Document Map"/>
    <w:basedOn w:val="1"/>
    <w:uiPriority w:val="0"/>
    <w:rPr>
      <w:rFonts w:ascii="宋体" w:eastAsia="宋体"/>
      <w:sz w:val="18"/>
      <w:szCs w:val="18"/>
    </w:rPr>
  </w:style>
  <w:style w:type="paragraph" w:styleId="7">
    <w:name w:val="Body Text"/>
    <w:basedOn w:val="1"/>
    <w:qFormat/>
    <w:uiPriority w:val="0"/>
    <w:pPr>
      <w:spacing w:after="120"/>
    </w:pPr>
  </w:style>
  <w:style w:type="paragraph" w:styleId="8">
    <w:name w:val="Body Text Indent"/>
    <w:basedOn w:val="1"/>
    <w:uiPriority w:val="0"/>
    <w:pPr>
      <w:ind w:firstLine="200" w:firstLineChars="2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jc w:val="left"/>
    </w:pPr>
    <w:rPr>
      <w:rFonts w:ascii="宋体" w:eastAsia="宋体" w:cs="宋体"/>
      <w:color w:val="auto"/>
      <w:kern w:val="0"/>
      <w:sz w:val="24"/>
      <w:szCs w:val="24"/>
    </w:rPr>
  </w:style>
  <w:style w:type="paragraph" w:styleId="13">
    <w:name w:val="Body Text First Indent 2"/>
    <w:basedOn w:val="8"/>
    <w:qFormat/>
    <w:uiPriority w:val="0"/>
  </w:style>
  <w:style w:type="character" w:styleId="16">
    <w:name w:val="page number"/>
    <w:basedOn w:val="15"/>
    <w:qFormat/>
    <w:uiPriority w:val="0"/>
  </w:style>
  <w:style w:type="paragraph" w:customStyle="1" w:styleId="17">
    <w:name w:val="标题 5（有编号）（绿盟科技）"/>
    <w:basedOn w:val="1"/>
    <w:next w:val="18"/>
    <w:qFormat/>
    <w:uiPriority w:val="0"/>
    <w:pPr>
      <w:keepNext/>
      <w:keepLines/>
      <w:widowControl w:val="0"/>
      <w:spacing w:before="280" w:after="156" w:line="377" w:lineRule="auto"/>
      <w:jc w:val="left"/>
      <w:outlineLvl w:val="4"/>
    </w:pPr>
    <w:rPr>
      <w:rFonts w:ascii="Arial" w:hAnsi="Arial" w:eastAsia="黑体"/>
      <w:b/>
      <w:kern w:val="0"/>
      <w:sz w:val="24"/>
      <w:szCs w:val="28"/>
    </w:rPr>
  </w:style>
  <w:style w:type="paragraph" w:customStyle="1" w:styleId="18">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19">
    <w:name w:val="文本"/>
    <w:basedOn w:val="1"/>
    <w:next w:val="5"/>
    <w:qFormat/>
    <w:uiPriority w:val="0"/>
    <w:pPr>
      <w:spacing w:line="360" w:lineRule="auto"/>
      <w:ind w:firstLine="480"/>
    </w:pPr>
    <w:rPr>
      <w:sz w:val="24"/>
    </w:rPr>
  </w:style>
  <w:style w:type="paragraph" w:customStyle="1" w:styleId="20">
    <w:name w:val="p0"/>
    <w:basedOn w:val="1"/>
    <w:qFormat/>
    <w:uiPriority w:val="0"/>
    <w:pPr>
      <w:widowControl/>
    </w:pPr>
    <w:rPr>
      <w:rFonts w:cs="宋体"/>
      <w:kern w:val="0"/>
    </w:rPr>
  </w:style>
  <w:style w:type="character" w:customStyle="1" w:styleId="21">
    <w:name w:val="font21"/>
    <w:basedOn w:val="15"/>
    <w:qFormat/>
    <w:uiPriority w:val="0"/>
    <w:rPr>
      <w:rFonts w:ascii="Times New Roman" w:hAnsi="Times New Roman" w:cs="Times New Roman"/>
      <w:b/>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3</Pages>
  <Words>2669</Words>
  <Characters>2994</Characters>
  <Lines>203</Lines>
  <Paragraphs>130</Paragraphs>
  <TotalTime>37</TotalTime>
  <ScaleCrop>false</ScaleCrop>
  <LinksUpToDate>false</LinksUpToDate>
  <CharactersWithSpaces>3020</CharactersWithSpaces>
  <Application>WPS Office_11.8.2.1120_F1E327BC-269C-435d-A152-05C5408002CA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2019-12-07T17:01:00Z</dcterms:created>
  <dc:creator>User</dc:creator>
  <cp:lastModifiedBy>user</cp:lastModifiedBy>
  <cp:lastPrinted>2023-01-03T16:02:00Z</cp:lastPrinted>
  <dcterms:modified xsi:type="dcterms:W3CDTF">2023-01-03T16:03:39Z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1DD56D585B9A67018833A9632B76AC20</vt:lpwstr>
  </property>
</Properties>
</file>