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ascii="Calibri" w:hAnsi="Calibri" w:cs="Calibri"/>
          <w:i w:val="0"/>
          <w:iCs w:val="0"/>
          <w:caps w:val="0"/>
          <w:color w:val="333333"/>
          <w:spacing w:val="0"/>
          <w:sz w:val="32"/>
          <w:szCs w:val="32"/>
        </w:rPr>
      </w:pPr>
      <w:bookmarkStart w:id="0" w:name="_GoBack"/>
      <w:bookmarkEnd w:id="0"/>
      <w:r>
        <w:rPr>
          <w:rFonts w:ascii="黑体" w:hAnsi="宋体" w:eastAsia="黑体" w:cs="黑体"/>
          <w:i w:val="0"/>
          <w:iCs w:val="0"/>
          <w:caps w:val="0"/>
          <w:color w:val="auto"/>
          <w:spacing w:val="0"/>
          <w:sz w:val="32"/>
          <w:szCs w:val="32"/>
          <w:shd w:val="clear" w:fill="FFFFFF"/>
          <w:vertAlign w:val="baseline"/>
        </w:rPr>
        <w:t>附件</w:t>
      </w:r>
      <w:r>
        <w:rPr>
          <w:rFonts w:hint="default" w:ascii="Times New Roman" w:hAnsi="Times New Roman" w:cs="Times New Roman"/>
          <w:i w:val="0"/>
          <w:iCs w:val="0"/>
          <w:caps w:val="0"/>
          <w:color w:val="auto"/>
          <w:spacing w:val="0"/>
          <w:sz w:val="32"/>
          <w:szCs w:val="32"/>
          <w:shd w:val="clear" w:fill="FFFFFF"/>
          <w:vertAlign w:val="baseline"/>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24"/>
          <w:szCs w:val="24"/>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ascii="方正小标宋简体" w:hAnsi="方正小标宋简体" w:eastAsia="方正小标宋简体" w:cs="方正小标宋简体"/>
          <w:i w:val="0"/>
          <w:iCs w:val="0"/>
          <w:caps w:val="0"/>
          <w:color w:val="auto"/>
          <w:spacing w:val="0"/>
          <w:kern w:val="0"/>
          <w:sz w:val="44"/>
          <w:szCs w:val="44"/>
          <w:shd w:val="clear" w:fill="FFFFFF"/>
          <w:vertAlign w:val="baseline"/>
          <w:lang w:val="en-US" w:eastAsia="zh-CN" w:bidi="ar"/>
        </w:rPr>
        <w:t>关于持续巩固和增强经济回升向好态势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vertAlign w:val="baseline"/>
          <w:lang w:val="en-US" w:eastAsia="zh-CN" w:bidi="ar"/>
        </w:rPr>
        <w:t>若干政策措施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auto"/>
          <w:spacing w:val="0"/>
          <w:kern w:val="0"/>
          <w:sz w:val="32"/>
          <w:szCs w:val="32"/>
          <w:shd w:val="clear" w:fill="FFFFFF"/>
          <w:vertAlign w:val="baseline"/>
          <w:lang w:val="en-US" w:eastAsia="zh-CN" w:bidi="ar"/>
        </w:rPr>
        <w:t>（征求意见稿）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auto"/>
          <w:spacing w:val="0"/>
          <w:kern w:val="0"/>
          <w:sz w:val="32"/>
          <w:szCs w:val="32"/>
          <w:shd w:val="clear" w:fill="FFFFFF"/>
          <w:vertAlign w:val="baseline"/>
          <w:lang w:val="en-US" w:eastAsia="zh-CN" w:bidi="ar"/>
        </w:rPr>
        <w:t>为深入贯彻习近平总书记来川视察重要指示精神，全面落实中央、省委、市委经济工作会议和市委经济工作推进会议精神，聚焦激发有效需求、培植增长点，持续巩固和增强经济回升向好态势，按照《四川省人民政府办公厅印发</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&lt;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关于持续巩固和增强经济回升向好态势若干政策措施</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&gt;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的通知》（川办规〔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号）精神，结合巴中实际，制定如下政策措施。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一、强化财税政策支持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（一）实施高质量发展激励。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市级财政对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7</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个县（区）</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年二、三季度按地区生产总值和一般公共预算收入增长贡献各占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的权重进行考核，对增幅达到平均数以上（不含平均数）的予以激励。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责任单位：市财政局、市发展改革委</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（二）持续落实创业税收优惠政策。</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2027</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日前继续顶格实施符合条件的登记失业人员和毕业年度内高校毕业生等重点群体、自主就业退役士兵创业税收优惠政策，对其从事个体经营的，自办理个体工商户登记当月起在３年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(36</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个月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 </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内按限额上限</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24000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依次扣减其当年实际应缴纳的增值税、城市维护建设税、教育费附加、地方教育附加和个人所得税。（责任单位：市财政局、市税务局、市人力资源社会保障局、市农业农村局、市市场监管局、市教育局、市退役军人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二、积极扩大有效投资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（三）实施固定资产投资激励。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年二季度和三季度根据固定资产投资增速、占全省投资比重等因素测算，获省激励支持的县（区），市级财政给予综合排名全省前</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位的县（区）省级财政定向激励资金的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奖励，用于项目前期工作经费，鼓励各县（区）多拉快跑、多作贡献。</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责任单位：市发展改革委、市财政局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（四）实施制造业贷款投放激励。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日制造业中长期贷款余额较上年同期增长</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28%</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以上的市内银行机构，市级按其制造业中长期贷款余额增量的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0.1%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给予奖励。对总投资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万元以上且在年内竣工的工业项目，在</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年内的新增贷款，按当年实际支出利息额的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贴息，最高不超过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万元；对制造业技改项目贷款进行贴息，按当年实际支出利息额的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计算，单个项目贴息额最低不低于</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万元。对年内新增贷款扩大生产经营的规上制造业企业，且净增营业收入</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万元以上的，按新增贷款的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给予贴息补助，最高不超过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责任单位：市经济和信息化局、市财政局、人民银行巴中市分行</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（五）实施工业项目竣工投产激励。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年内竣工的重点工业项目，按不超过项目设备投资额</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的比例给予最高</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万元奖补；项目竣工投产后，在年内新增产值超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万元，则在</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的奖补基础上增加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部分不受</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万元限制。对总投资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万元以上的制造业数字化、智能化、绿色化技术改造和传统产业设备更新项目，按新增设备投资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的比例，给予最高</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万元奖补；项目在年内竣工投产，则在</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的奖补基础上增加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部分不受</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万元限制。</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责任单位：市经济和信息化局、市财政局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三、促进房地产市场平稳健康发展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（六）推动房地产去库存。</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全面落实《关于印发进一步促进市中心城区房地产市场平稳健康发展十二条措施的通知》（巴府办规〔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号），严格按实施细则及时兑现购房补贴。会同商协会开展房地产市外营销推介，探索</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房票</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安置，支持存量商品房发展为保障性租赁住房。（责任单位：市住房城乡建设局、市财政局、市商务局、市工商联）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（七）实施</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建筑强企</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培育行动。</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按照《巴中市进一步推动建筑业高质量发展若干措施》，对贡献大的建筑企业和建筑业资质晋升为特级、一级的企业予以奖补。鼓励市外建筑业将企业设立在巴中、产值带回巴中，根据情况予以激励。（责任单位：市住房城乡建设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四、加快消费恢复提振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（八）实施消费信贷财政贴息。</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9</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日期间，市内银行机构向市内居民发放</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年期及以上，且贷款用途为汽车购置、电子产品、住房装修、家电家具耐用品</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类商品线下消费贷款，财政部门按照年利率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、单笔不超过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元给予居民</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年期一次性贴息，居民在全市范围最高可享受</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笔贷款贴息支持。所需资金省、市、县（区）按</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8:1:1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比例负担。〔责任单位：市财政局、市商务局、人民银行巴中市分行</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各县（区）人民政府，巴中经开区管委会〕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8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 </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（九）发放特色产品消费券。</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年４月１日至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日期间，鼓励县区、相关协会结合重大促消费活动，聚焦</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巴中产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巴中造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等特色产品进行集中展示、展销和推介，市级财政按照境外、省外、市外、市内分别给予参展企业</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元一次性费用补助。市级安排</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1600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万元，县（区）匹配相应资金面向消费者分批分类分档发放</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巴中产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巴中造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消费券，助力企业拓展市场，带动特色优势产业发展。〔责任单位：市商务局、市财政局，各县（区）人民政府，巴中经开区管委会〕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（十）实施二手车销售奖励。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对符合条件的二手车经销企业，按其</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年４月１日至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年９月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日期间二手车销售额的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0.5%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给予奖励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单户企业最高不超过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万元。所需资金由省、市、县（区）按照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8:1:1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比例负担。〔责任单位：市商务局、市财政局、各县（区）人民政府，巴中经开区管委会〕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（十一）实施旅行社入境游激励。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除省级激励措施外，市财政对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日期间，接待来巴入境游过夜游客达到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人次、</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人次、</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人次的旅行社，市级财政分别给予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7</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万元一次性奖补。原引客入巴激励政策继续执行。</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责任单位：市文化广电体育旅游局、市财政局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五、推动外贸提质增效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（十二）支持企业</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开口破零</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除省级激励政策外，市级财政鼓励和支持非自营企业转自营，对当年实现进出口额达到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万元以上的，给予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万元奖励，每增加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万元增加</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万元；对年度自营进出口首次达到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万元以上的生产型企业，给予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万元一次性财政资金奖励。支持新业态发展，对在巴中注册并实际运营</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年以上的跨境电商企业、二手车出口企业，按照年进出口总值的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给予补助，最高不超过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万元。支持在巴中注册的外贸综合服务企业，每服务</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家生产型外贸企业进出口额满</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万元补助</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年。（责任单位：市商务局、市财政局）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（十三）实施出口信用保险保费补贴。</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对上年出口额</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万美元以下的企业，</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年１月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日期间通过省级中小微外贸企业政策性出口信用保险统保平台投保、保险费率不超过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0.09%</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的保险费依规定由省级财政据实全额补贴。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 (</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责任单位：市商务局、市财政局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（十四）支持涉外企业降本增效。</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年１月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日期间的高新技术企业、</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专精特新</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企业和科技型中小企业开展跨境融资，市财政给予实际支付利息的</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财政贴息。对涉外企业运用外汇衍生品开展汇率避险，市财政按签约金额每万美元给予</w:t>
      </w:r>
      <w:r>
        <w:rPr>
          <w:rFonts w:hint="default" w:ascii="Times New Roman" w:hAnsi="Times New Roman" w:cs="Times New Roman"/>
          <w:i w:val="0"/>
          <w:iCs w:val="0"/>
          <w:caps w:val="0"/>
          <w:color w:val="auto"/>
          <w:spacing w:val="0"/>
          <w:sz w:val="32"/>
          <w:szCs w:val="32"/>
          <w:shd w:val="clear" w:fill="FFFFFF"/>
          <w:vertAlign w:val="baseline"/>
        </w:rPr>
        <w:t>50</w:t>
      </w:r>
      <w:r>
        <w:rPr>
          <w:rFonts w:hint="eastAsia" w:ascii="仿宋" w:hAnsi="仿宋" w:eastAsia="仿宋" w:cs="仿宋"/>
          <w:i w:val="0"/>
          <w:iCs w:val="0"/>
          <w:caps w:val="0"/>
          <w:color w:val="auto"/>
          <w:spacing w:val="0"/>
          <w:sz w:val="32"/>
          <w:szCs w:val="32"/>
          <w:shd w:val="clear" w:fill="FFFFFF"/>
          <w:vertAlign w:val="baseline"/>
        </w:rPr>
        <w:t>元、单户最高不超过</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万元的奖补；对涉外企业运用人民币进行跨境结算规避汇率风险，年度结算量达到</w:t>
      </w:r>
      <w:r>
        <w:rPr>
          <w:rFonts w:hint="default" w:ascii="Times New Roman" w:hAnsi="Times New Roman" w:cs="Times New Roman"/>
          <w:i w:val="0"/>
          <w:iCs w:val="0"/>
          <w:caps w:val="0"/>
          <w:color w:val="auto"/>
          <w:spacing w:val="0"/>
          <w:sz w:val="32"/>
          <w:szCs w:val="32"/>
          <w:shd w:val="clear" w:fill="FFFFFF"/>
          <w:vertAlign w:val="baseline"/>
        </w:rPr>
        <w:t>500</w:t>
      </w:r>
      <w:r>
        <w:rPr>
          <w:rFonts w:hint="eastAsia" w:ascii="仿宋" w:hAnsi="仿宋" w:eastAsia="仿宋" w:cs="仿宋"/>
          <w:i w:val="0"/>
          <w:iCs w:val="0"/>
          <w:caps w:val="0"/>
          <w:color w:val="auto"/>
          <w:spacing w:val="0"/>
          <w:sz w:val="32"/>
          <w:szCs w:val="32"/>
          <w:shd w:val="clear" w:fill="FFFFFF"/>
          <w:vertAlign w:val="baseline"/>
        </w:rPr>
        <w:t>万元以上（含）的，市财政给予每户企业</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万元奖补。（人民银行巴中市分行、市财政局）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六、帮助企业降本减负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（十五）实施地方法人银行支农支小再贷款激励。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地方法人银行运用人民银行再贷款资金向小微企业</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含个体工商户、小微企业主</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和新型农业经营主体</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含农户</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发放的低于</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年期</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LPR+40BP</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的贷款</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按其新发放贷款金额的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给予一次性奖补。所需资金由省、市、县（区）按照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8:1:1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负担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〔责任单位：市财政局、人民银行巴中市分行</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各县（区）人民政府，巴中经开区管委会〕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（十六）加大货车高速公路通行费优惠力度。</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年４月１日至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日期间，安装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ETC(</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电子不停车收费系统</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的非新能源货车省内高速公路通行费优惠由５％提高至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6%</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，夜间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(23:00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至次日</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6:00)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行车通行费优惠由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6%</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提高至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8%</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，安装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ETC</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的新能源货车省内高速公路通行费优惠由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提高至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。安装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ETC</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的国际标准集装箱运输车辆省内高速公路通行费优惠由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提高至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60%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，优惠政策就高执行，提高部分所需资金依照规定由省级财政负担。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责任单位：市交通运输局、市财政局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（十七）实施企业招工成本补贴。</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年４月１日至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9</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日期间，签订劳动合同招用新成长劳动力并按规定参加职工社会保险</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新成长劳动力应为首次参保</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 </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的企业，给予招工成本补贴，补贴标准由每人</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元提高至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元，社会团体、基金会、社会服务机构、律师事务所、会计师事务所、以单位形式参保的个体工商户参照实施，补贴实行</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免申即享</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发放方式，由各地根据参保系统信息直接向企业发放。所需资金由省、市、县（区）按照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8:1:1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负担。〔责任单位</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市人力资源社会保障局、市财政局，各县（区）人民政府，巴中经开区、文旅新区管委会〕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auto"/>
          <w:spacing w:val="0"/>
          <w:kern w:val="0"/>
          <w:sz w:val="32"/>
          <w:szCs w:val="32"/>
          <w:shd w:val="clear" w:fill="FFFFFF"/>
          <w:vertAlign w:val="baseline"/>
          <w:lang w:val="en-US" w:eastAsia="zh-CN" w:bidi="ar"/>
        </w:rPr>
        <w:t>七、助力企业快速成长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（十八）加大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转企升规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楷体" w:hAnsi="楷体" w:eastAsia="楷体" w:cs="楷体"/>
          <w:i w:val="0"/>
          <w:iCs w:val="0"/>
          <w:caps w:val="0"/>
          <w:color w:val="auto"/>
          <w:spacing w:val="0"/>
          <w:kern w:val="0"/>
          <w:sz w:val="32"/>
          <w:szCs w:val="32"/>
          <w:shd w:val="clear" w:fill="FFFFFF"/>
          <w:vertAlign w:val="baseline"/>
          <w:lang w:val="en-US" w:eastAsia="zh-CN" w:bidi="ar"/>
        </w:rPr>
        <w:t>激励力度。</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年１月１日至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转企升规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企业户数净增加的县区，除省级财政给予激励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个转企</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户均标准为</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0.6</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小升规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工业、服务业、商贸业企业户均标准分别为８万元、４万元、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万元外，市、县（区）财政分别给予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个转企</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主体</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0.1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万元及</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万元的激励，并由受益财政给予户均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0.3</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万元的记账费用补助。对新增或复核通过的省级</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专精特新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企业、国家级专精特新</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小巨人</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企业，由市级财政给予户均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万元资金激励。（责任单位：市财政局、市经济和信息化局、市商务局、市市场监管局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（十九）实施大企业大集团定向采购激励。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9</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日期间，符合条件的工业领域大企业大集团采购我市中小企业产品及服务累计超过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万元的，市级财政按照实际支付采购金额的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给予奖补，单个企业最高补助不超过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100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万元。达到省级激励条件的，申报省级激励。</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责任单位：市经济和信息化局、市市场监管局、市财政局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auto"/>
          <w:spacing w:val="0"/>
          <w:kern w:val="0"/>
          <w:sz w:val="32"/>
          <w:szCs w:val="32"/>
          <w:shd w:val="clear" w:fill="FFFFFF"/>
          <w:vertAlign w:val="baseline"/>
          <w:lang w:val="en-US" w:eastAsia="zh-CN" w:bidi="ar"/>
        </w:rPr>
        <w:t>（二十）实施机器人和无人机等重点产品推广应用激励。</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对</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年４月１日至</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2024</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年９月</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30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日期间，符合条件的机器人和工业无人机产品生产企业，按该类产品同比销售收入增量的</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给予奖补，单个企业最高不超过</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500</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万元。所需资金依照规定由省级财政负担。</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r>
        <w:rPr>
          <w:rFonts w:hint="eastAsia" w:ascii="仿宋" w:hAnsi="仿宋" w:eastAsia="仿宋" w:cs="仿宋"/>
          <w:i w:val="0"/>
          <w:iCs w:val="0"/>
          <w:caps w:val="0"/>
          <w:color w:val="auto"/>
          <w:spacing w:val="0"/>
          <w:kern w:val="0"/>
          <w:sz w:val="32"/>
          <w:szCs w:val="32"/>
          <w:shd w:val="clear" w:fill="FFFFFF"/>
          <w:vertAlign w:val="baseline"/>
          <w:lang w:val="en-US" w:eastAsia="zh-CN" w:bidi="ar"/>
        </w:rPr>
        <w:t>责任单位：市经济和信息化局、市财政局</w:t>
      </w:r>
      <w:r>
        <w:rPr>
          <w:rFonts w:hint="default" w:ascii="Times New Roman" w:hAnsi="Times New Roman" w:eastAsia="宋体" w:cs="Times New Roman"/>
          <w:i w:val="0"/>
          <w:iCs w:val="0"/>
          <w:caps w:val="0"/>
          <w:color w:val="auto"/>
          <w:spacing w:val="0"/>
          <w:kern w:val="0"/>
          <w:sz w:val="32"/>
          <w:szCs w:val="32"/>
          <w:shd w:val="clear" w:fill="FFFFFF"/>
          <w:vertAlign w:val="baseline"/>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YTY3ZTBlZDMzOWU3MjRiYjBhNGYzM2FmMmUwMjQifQ=="/>
  </w:docVars>
  <w:rsids>
    <w:rsidRoot w:val="5CF4381A"/>
    <w:rsid w:val="11135E1F"/>
    <w:rsid w:val="5CF4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2024-04-26T02:23:00Z</dcterms:created>
  <dc:creator>DELL</dc:creator>
  <cp:lastModifiedBy>DELL</cp:lastModifiedBy>
  <dcterms:modified xsi:type="dcterms:W3CDTF">2024-04-26T02:28:20Z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E6E883A37D684580B64E203626538849_13</vt:lpwstr>
  </property>
</Properties>
</file>