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ascii="Calibri" w:hAnsi="Calibri" w:cs="Calibri"/>
          <w:i w:val="0"/>
          <w:iCs w:val="0"/>
          <w:caps w:val="0"/>
          <w:color w:val="333333"/>
          <w:spacing w:val="0"/>
          <w:sz w:val="32"/>
          <w:szCs w:val="32"/>
        </w:rPr>
      </w:pPr>
      <w:bookmarkStart w:id="0" w:name="_GoBack"/>
      <w:bookmarkEnd w:id="0"/>
      <w:r>
        <w:rPr>
          <w:rFonts w:ascii="黑体" w:hAnsi="宋体" w:eastAsia="黑体" w:cs="黑体"/>
          <w:i w:val="0"/>
          <w:iCs w:val="0"/>
          <w:caps w:val="0"/>
          <w:color w:val="auto"/>
          <w:spacing w:val="0"/>
          <w:sz w:val="32"/>
          <w:szCs w:val="32"/>
          <w:shd w:val="clear" w:fill="FFFFFF"/>
          <w:vertAlign w:val="baseline"/>
        </w:rPr>
        <w:t>附件</w:t>
      </w:r>
      <w:r>
        <w:rPr>
          <w:rFonts w:hint="default" w:ascii="Times New Roman" w:hAnsi="Times New Roman" w:cs="Times New Roman"/>
          <w:i w:val="0"/>
          <w:iCs w:val="0"/>
          <w:caps w:val="0"/>
          <w:color w:val="auto"/>
          <w:spacing w:val="0"/>
          <w:sz w:val="32"/>
          <w:szCs w:val="32"/>
          <w:shd w:val="clear" w:fill="FFFFFF"/>
          <w:vertAlign w:val="baseline"/>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auto"/>
          <w:spacing w:val="0"/>
          <w:kern w:val="0"/>
          <w:sz w:val="24"/>
          <w:szCs w:val="24"/>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center"/>
        <w:rPr>
          <w:rFonts w:hint="eastAsia" w:ascii="宋体" w:hAnsi="宋体" w:eastAsia="宋体" w:cs="宋体"/>
          <w:i w:val="0"/>
          <w:iCs w:val="0"/>
          <w:caps w:val="0"/>
          <w:color w:val="333333"/>
          <w:spacing w:val="0"/>
          <w:sz w:val="24"/>
          <w:szCs w:val="24"/>
        </w:rPr>
      </w:pPr>
      <w:r>
        <w:rPr>
          <w:rFonts w:ascii="方正小标宋_GBK" w:hAnsi="方正小标宋_GBK" w:eastAsia="方正小标宋_GBK" w:cs="方正小标宋_GBK"/>
          <w:i w:val="0"/>
          <w:iCs w:val="0"/>
          <w:caps w:val="0"/>
          <w:color w:val="auto"/>
          <w:spacing w:val="0"/>
          <w:kern w:val="0"/>
          <w:sz w:val="44"/>
          <w:szCs w:val="44"/>
          <w:shd w:val="clear" w:fill="FFFFFF"/>
          <w:vertAlign w:val="baseline"/>
          <w:lang w:val="en-US" w:eastAsia="zh-CN" w:bidi="ar"/>
        </w:rPr>
        <w:t>《</w:t>
      </w:r>
      <w:r>
        <w:rPr>
          <w:rFonts w:ascii="方正小标宋简体" w:hAnsi="方正小标宋简体" w:eastAsia="方正小标宋简体" w:cs="方正小标宋简体"/>
          <w:i w:val="0"/>
          <w:iCs w:val="0"/>
          <w:caps w:val="0"/>
          <w:color w:val="auto"/>
          <w:spacing w:val="0"/>
          <w:kern w:val="0"/>
          <w:sz w:val="44"/>
          <w:szCs w:val="44"/>
          <w:shd w:val="clear" w:fill="FFFFFF"/>
          <w:vertAlign w:val="baseline"/>
          <w:lang w:val="en-US" w:eastAsia="zh-CN" w:bidi="ar"/>
        </w:rPr>
        <w:t>关于持续巩固和增强经济回升向好态势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vertAlign w:val="baseline"/>
          <w:lang w:val="en-US" w:eastAsia="zh-CN" w:bidi="ar"/>
        </w:rPr>
        <w:t>若干政策措施</w:t>
      </w:r>
      <w:r>
        <w:rPr>
          <w:rFonts w:hint="eastAsia" w:ascii="方正小标宋_GBK" w:hAnsi="方正小标宋_GBK" w:eastAsia="方正小标宋_GBK" w:cs="方正小标宋_GBK"/>
          <w:i w:val="0"/>
          <w:iCs w:val="0"/>
          <w:caps w:val="0"/>
          <w:color w:val="auto"/>
          <w:spacing w:val="0"/>
          <w:kern w:val="0"/>
          <w:sz w:val="44"/>
          <w:szCs w:val="44"/>
          <w:shd w:val="clear" w:fill="FFFFFF"/>
          <w:vertAlign w:val="baseline"/>
          <w:lang w:val="en-US" w:eastAsia="zh-CN" w:bidi="ar"/>
        </w:rPr>
        <w:t>（征求意见稿）》的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方正小标宋_GBK" w:hAnsi="方正小标宋_GBK" w:eastAsia="方正小标宋_GBK" w:cs="方正小标宋_GBK"/>
          <w:i w:val="0"/>
          <w:iCs w:val="0"/>
          <w:caps w:val="0"/>
          <w:color w:val="auto"/>
          <w:spacing w:val="0"/>
          <w:kern w:val="0"/>
          <w:sz w:val="44"/>
          <w:szCs w:val="44"/>
          <w:shd w:val="clear" w:fill="FFFFFF"/>
          <w:vertAlign w:val="baseline"/>
          <w:lang w:val="en-US" w:eastAsia="zh-CN" w:bidi="ar"/>
        </w:rPr>
        <w:t>起草说明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ascii="方正黑体_GBK" w:hAnsi="方正黑体_GBK" w:eastAsia="方正黑体_GBK" w:cs="方正黑体_GBK"/>
          <w:i w:val="0"/>
          <w:iCs w:val="0"/>
          <w:caps w:val="0"/>
          <w:color w:val="auto"/>
          <w:spacing w:val="0"/>
          <w:kern w:val="0"/>
          <w:sz w:val="32"/>
          <w:szCs w:val="32"/>
          <w:shd w:val="clear" w:fill="FFFFFF"/>
          <w:vertAlign w:val="baseline"/>
          <w:lang w:val="en-US" w:eastAsia="zh-CN" w:bidi="ar"/>
        </w:rPr>
        <w:t>一、起草背景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auto"/>
          <w:spacing w:val="0"/>
          <w:kern w:val="0"/>
          <w:sz w:val="32"/>
          <w:szCs w:val="32"/>
          <w:shd w:val="clear" w:fill="FFFFFF"/>
          <w:vertAlign w:val="baseline"/>
          <w:lang w:val="en-US" w:eastAsia="zh-CN" w:bidi="ar"/>
        </w:rPr>
        <w:t>为全面落实中央、省委、市委经济工作会议和市委经济工作推进会议精神，聚焦激发有效需求、培植增长点，持续巩固和增强全市经济回升向好态势，根据</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7</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日省政府办公厅印发的《关于持续巩固和增强经济回升向好态势若干政策措施》（川办规〔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号）要求，市财政局结合全市实际，牵头起草了《关于持续巩固和增强经济回升向好态势若干政策措施（征求意见稿）》（以下简</w:t>
      </w:r>
      <w:r>
        <w:rPr>
          <w:rFonts w:ascii="方正仿宋_GBK" w:hAnsi="方正仿宋_GBK" w:eastAsia="方正仿宋_GBK" w:cs="方正仿宋_GBK"/>
          <w:i w:val="0"/>
          <w:iCs w:val="0"/>
          <w:caps w:val="0"/>
          <w:color w:val="auto"/>
          <w:spacing w:val="0"/>
          <w:kern w:val="0"/>
          <w:sz w:val="32"/>
          <w:szCs w:val="32"/>
          <w:shd w:val="clear" w:fill="FFFFFF"/>
          <w:vertAlign w:val="baseline"/>
          <w:lang w:val="en-US" w:eastAsia="zh-CN" w:bidi="ar"/>
        </w:rPr>
        <w:t>称《措施》）</w:t>
      </w:r>
      <w:r>
        <w:rPr>
          <w:rFonts w:hint="eastAsia" w:ascii="方正仿宋_GBK" w:hAnsi="方正仿宋_GBK" w:eastAsia="方正仿宋_GBK" w:cs="方正仿宋_GBK"/>
          <w:i w:val="0"/>
          <w:iCs w:val="0"/>
          <w:caps w:val="0"/>
          <w:color w:val="auto"/>
          <w:spacing w:val="0"/>
          <w:kern w:val="0"/>
          <w:sz w:val="32"/>
          <w:szCs w:val="32"/>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76" w:lineRule="atLeast"/>
        <w:ind w:left="0" w:right="0" w:firstLine="640"/>
        <w:jc w:val="both"/>
        <w:rPr>
          <w:rFonts w:hint="eastAsia" w:ascii="宋体" w:hAnsi="宋体" w:eastAsia="宋体" w:cs="宋体"/>
          <w:i w:val="0"/>
          <w:iCs w:val="0"/>
          <w:caps w:val="0"/>
          <w:color w:val="333333"/>
          <w:spacing w:val="0"/>
          <w:sz w:val="24"/>
          <w:szCs w:val="24"/>
        </w:rPr>
      </w:pPr>
      <w:r>
        <w:rPr>
          <w:rFonts w:hint="default" w:ascii="方正黑体_GBK" w:hAnsi="方正黑体_GBK" w:eastAsia="方正黑体_GBK" w:cs="方正黑体_GBK"/>
          <w:i w:val="0"/>
          <w:iCs w:val="0"/>
          <w:caps w:val="0"/>
          <w:color w:val="auto"/>
          <w:spacing w:val="0"/>
          <w:kern w:val="0"/>
          <w:sz w:val="32"/>
          <w:szCs w:val="32"/>
          <w:shd w:val="clear" w:fill="FFFFFF"/>
          <w:vertAlign w:val="baseline"/>
          <w:lang w:val="en-US" w:eastAsia="zh-CN" w:bidi="ar"/>
        </w:rPr>
        <w:t>二、主要内容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76" w:lineRule="atLeast"/>
        <w:ind w:left="0" w:right="0" w:firstLine="64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auto"/>
          <w:spacing w:val="0"/>
          <w:kern w:val="0"/>
          <w:sz w:val="32"/>
          <w:szCs w:val="32"/>
          <w:shd w:val="clear" w:fill="FFFFFF"/>
          <w:vertAlign w:val="baseline"/>
          <w:lang w:val="en-US" w:eastAsia="zh-CN" w:bidi="ar"/>
        </w:rPr>
        <w:t>《措施》与省上文件框架大体一致，包含强化财税政策支持、积极扩大有效投资、促进房地产市场平稳健康发展等七大版块，</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条具体措施。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auto"/>
          <w:spacing w:val="0"/>
          <w:kern w:val="0"/>
          <w:sz w:val="32"/>
          <w:szCs w:val="32"/>
          <w:shd w:val="clear" w:fill="FFFFFF"/>
          <w:vertAlign w:val="baseline"/>
          <w:lang w:val="en-US" w:eastAsia="zh-CN" w:bidi="ar"/>
        </w:rPr>
        <w:t>第一，</w:t>
      </w:r>
      <w:r>
        <w:rPr>
          <w:rFonts w:hint="eastAsia" w:ascii="楷体" w:hAnsi="楷体" w:eastAsia="楷体" w:cs="楷体"/>
          <w:i w:val="0"/>
          <w:iCs w:val="0"/>
          <w:caps w:val="0"/>
          <w:color w:val="auto"/>
          <w:spacing w:val="0"/>
          <w:kern w:val="0"/>
          <w:sz w:val="32"/>
          <w:szCs w:val="32"/>
          <w:shd w:val="clear" w:fill="FFFFFF"/>
          <w:vertAlign w:val="baseline"/>
          <w:lang w:val="en-US" w:eastAsia="zh-CN" w:bidi="ar"/>
        </w:rPr>
        <w:t>强化财税政策支持。</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一是实施高质量发展激励。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市级财政对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7</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个县（区）</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年二、三季度按地区生产总值和一般公共预算收入增长贡献各占</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的权重进行考核，对增幅达到平均数以上（不含）的予以激励。</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二是持续落实创业税收优惠政策。</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税收政策与省上保持一致。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第二，积极扩大有效投资。</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一是实施固定资产投资激励。</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年二、三季度根据固定资产投资增速、占全省投资比重等因素测算，市级财政给予综合排名全省前</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位的县（区）省级财政定向激励资金的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奖励。</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二是实施制造业贷款投放激励。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对总投资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万元以上且在年内竣工的工业项目，在</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年内的新增贷款，按当年实际支出利息额的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贴息，最高不超过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三是实施工业项目竣工投产激励。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年内竣工的重点工业项目，按不超过项目设备投资额</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的比例给予最高</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万元奖补。后两部分是在《巴中市促进制造业项目投资建设七条措施》（巴府办规〔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号）的基础上修改完善。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第三，促进房地产市场平稳健康发展。</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本部分内容来自于《关于印发进一步促进市中心城区房地产市场平稳健康发展十二条措施的通知》（巴府办规〔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号）和即将出台的《巴中市进一步推动建筑业高质量发展若干措施》的内容。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第四，加快消费恢复提振。</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一是实施消费信贷财政贴息。</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本项为省上政策，市上对应执行。</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二是发放特色产品消费券。</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自今年４月１日至年底期间，市级财政按照境外、省外、市外、市内分别给予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巴中产</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巴中造</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参展企业</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4000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元一次性费用补助。市级安排</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1600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万元，县（区）配套资金面向消费者发放消费券。</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三是实施二手车销售奖励。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对应省上的政策。</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四是实施旅行社入境游激励。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除省级激励措施外，市财政对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年度，接待来巴入境游过夜游客达到</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人次、</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人次、</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人次的旅行社分别给予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7</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第五、推动外贸提质增效。</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一是支持企业</w:t>
      </w:r>
      <w:r>
        <w:rPr>
          <w:rFonts w:hint="default" w:ascii="Times New Roman" w:hAnsi="Times New Roman" w:eastAsia="宋体" w:cs="Times New Roman"/>
          <w:b/>
          <w:bCs/>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开口破零</w:t>
      </w:r>
      <w:r>
        <w:rPr>
          <w:rFonts w:hint="default" w:ascii="Times New Roman" w:hAnsi="Times New Roman" w:eastAsia="宋体" w:cs="Times New Roman"/>
          <w:b/>
          <w:bCs/>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除省级激励政策外，市级财政鼓励和支持非自营企业转自营，对当年实现进出口额达到</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万元以上的，给予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万元奖励，每增加</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万元增加</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万元；对年度自营进出口首次达到</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万元以上的生产型企业，给予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万元一次性财政资金奖励。</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二是实施出口信用保险保费补贴。</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沿用省上政策。</w:t>
      </w:r>
      <w:r>
        <w:rPr>
          <w:rFonts w:hint="eastAsia" w:ascii="仿宋" w:hAnsi="仿宋" w:eastAsia="仿宋" w:cs="仿宋"/>
          <w:b/>
          <w:bCs/>
          <w:i w:val="0"/>
          <w:iCs w:val="0"/>
          <w:caps w:val="0"/>
          <w:color w:val="auto"/>
          <w:spacing w:val="0"/>
          <w:kern w:val="0"/>
          <w:sz w:val="32"/>
          <w:szCs w:val="32"/>
          <w:shd w:val="clear" w:fill="FFFFFF"/>
          <w:vertAlign w:val="baseline"/>
          <w:lang w:val="en-US" w:eastAsia="zh-CN" w:bidi="ar"/>
        </w:rPr>
        <w:t>三是支持涉外企业降本增效。</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年度的高新技术企业、</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专精特新</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企业和科技型中小企业开展跨境融资，市财政给予实际支付利息的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财政贴息。对涉外企业运用外汇衍生品开展汇率避险，市财政按签约金额每万美元给予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元、单户最高不超过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万元的奖补。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第六、帮助企业降本减负。</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本部分均为省上政策。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第七、助力企业快速成长。</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一是加大</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转企升规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激励力度。除省上对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转企升规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企业户数净增加的市州给予激励外，</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个转企</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的按《巴中市支持个体工商户转型为企业的八条措施》（巴市监〔</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26</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号）文件执行。二是实施大企业大集团定向采购激励，三是实施机器人和无人机等重点产品推广应用激励，均沿用省上政策。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80" w:lineRule="atLeast"/>
        <w:ind w:left="0" w:right="0" w:firstLine="640"/>
        <w:jc w:val="both"/>
        <w:rPr>
          <w:rFonts w:hint="default" w:ascii="Calibri" w:hAnsi="Calibri" w:cs="Calibri"/>
          <w:i w:val="0"/>
          <w:iCs w:val="0"/>
          <w:caps w:val="0"/>
          <w:color w:val="333333"/>
          <w:spacing w:val="0"/>
          <w:sz w:val="32"/>
          <w:szCs w:val="32"/>
        </w:rPr>
      </w:pPr>
      <w:r>
        <w:rPr>
          <w:rFonts w:hint="default" w:ascii="方正黑体_GBK" w:hAnsi="方正黑体_GBK" w:eastAsia="方正黑体_GBK" w:cs="方正黑体_GBK"/>
          <w:i w:val="0"/>
          <w:iCs w:val="0"/>
          <w:caps w:val="0"/>
          <w:color w:val="auto"/>
          <w:spacing w:val="0"/>
          <w:sz w:val="32"/>
          <w:szCs w:val="32"/>
          <w:shd w:val="clear" w:fill="FFFFFF"/>
          <w:vertAlign w:val="baseline"/>
        </w:rPr>
        <w:t>三、发文计划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80" w:lineRule="atLeast"/>
        <w:ind w:left="0" w:right="0" w:firstLine="640"/>
        <w:jc w:val="both"/>
        <w:rPr>
          <w:rFonts w:hint="default" w:ascii="Calibri" w:hAnsi="Calibri" w:cs="Calibri"/>
          <w:i w:val="0"/>
          <w:iCs w:val="0"/>
          <w:caps w:val="0"/>
          <w:color w:val="333333"/>
          <w:spacing w:val="0"/>
          <w:sz w:val="32"/>
          <w:szCs w:val="32"/>
        </w:rPr>
      </w:pPr>
      <w:r>
        <w:rPr>
          <w:rFonts w:hint="eastAsia" w:ascii="仿宋" w:hAnsi="仿宋" w:eastAsia="仿宋" w:cs="仿宋"/>
          <w:i w:val="0"/>
          <w:iCs w:val="0"/>
          <w:caps w:val="0"/>
          <w:color w:val="auto"/>
          <w:spacing w:val="0"/>
          <w:sz w:val="32"/>
          <w:szCs w:val="32"/>
          <w:shd w:val="clear" w:fill="FFFFFF"/>
          <w:vertAlign w:val="baseline"/>
        </w:rPr>
        <w:t>关于发文形式：计划按程序审定后，参照省上文件，以市人民政府办公室名义印发。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80" w:lineRule="atLeast"/>
        <w:ind w:left="0" w:right="0" w:firstLine="640"/>
        <w:jc w:val="both"/>
        <w:rPr>
          <w:rFonts w:hint="default" w:ascii="Calibri" w:hAnsi="Calibri" w:cs="Calibri"/>
          <w:i w:val="0"/>
          <w:iCs w:val="0"/>
          <w:caps w:val="0"/>
          <w:color w:val="333333"/>
          <w:spacing w:val="0"/>
          <w:sz w:val="32"/>
          <w:szCs w:val="32"/>
        </w:rPr>
      </w:pPr>
      <w:r>
        <w:rPr>
          <w:rFonts w:hint="eastAsia" w:ascii="仿宋" w:hAnsi="仿宋" w:eastAsia="仿宋" w:cs="仿宋"/>
          <w:i w:val="0"/>
          <w:iCs w:val="0"/>
          <w:caps w:val="0"/>
          <w:color w:val="auto"/>
          <w:spacing w:val="0"/>
          <w:sz w:val="32"/>
          <w:szCs w:val="32"/>
          <w:shd w:val="clear" w:fill="FFFFFF"/>
          <w:vertAlign w:val="baseline"/>
        </w:rPr>
        <w:t>关于印发范围：拟发各县（区）人民政府、巴中经开区，市政府相关部门、直属事业单位。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80" w:lineRule="atLeast"/>
        <w:ind w:left="0" w:right="0" w:firstLine="640"/>
        <w:jc w:val="both"/>
        <w:rPr>
          <w:rFonts w:hint="default" w:ascii="Calibri" w:hAnsi="Calibri" w:cs="Calibri"/>
          <w:i w:val="0"/>
          <w:iCs w:val="0"/>
          <w:caps w:val="0"/>
          <w:color w:val="333333"/>
          <w:spacing w:val="0"/>
          <w:sz w:val="32"/>
          <w:szCs w:val="32"/>
        </w:rPr>
      </w:pPr>
      <w:r>
        <w:rPr>
          <w:rFonts w:hint="eastAsia" w:ascii="仿宋" w:hAnsi="仿宋" w:eastAsia="仿宋" w:cs="仿宋"/>
          <w:i w:val="0"/>
          <w:iCs w:val="0"/>
          <w:caps w:val="0"/>
          <w:color w:val="auto"/>
          <w:spacing w:val="0"/>
          <w:sz w:val="32"/>
          <w:szCs w:val="32"/>
          <w:shd w:val="clear" w:fill="FFFFFF"/>
          <w:vertAlign w:val="baseline"/>
        </w:rPr>
        <w:t>关于公开事项：拟主动公开。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YTY3ZTBlZDMzOWU3MjRiYjBhNGYzM2FmMmUwMjQifQ=="/>
  </w:docVars>
  <w:rsids>
    <w:rsidRoot w:val="5CF4381A"/>
    <w:rsid w:val="140167F0"/>
    <w:rsid w:val="325E19B3"/>
    <w:rsid w:val="5CF43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2024-04-26T02:23:00Z</dcterms:created>
  <dc:creator>DELL</dc:creator>
  <cp:lastModifiedBy>DELL</cp:lastModifiedBy>
  <dcterms:modified xsi:type="dcterms:W3CDTF">2024-04-26T02:28:45Z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869A8A0D174D4F20BA647C0A225441B5_13</vt:lpwstr>
  </property>
</Properties>
</file>